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4"/>
        <w:numPr>
          <w:ilvl w:val="0"/>
          <w:numId w:val="1"/>
        </w:numPr>
        <w:spacing w:beforeLines="50" w:afterLines="50" w:line="360" w:lineRule="auto"/>
        <w:ind w:firstLineChars="0"/>
        <w:rPr>
          <w:rFonts w:ascii="黑体" w:hAnsi="宋体" w:eastAsia="黑体"/>
          <w:b/>
          <w:bCs/>
          <w:sz w:val="30"/>
        </w:rPr>
      </w:pPr>
      <w:r>
        <w:rPr>
          <w:rFonts w:hint="eastAsia" w:ascii="黑体" w:hAnsi="宋体" w:eastAsia="黑体"/>
          <w:b/>
          <w:bCs/>
          <w:sz w:val="30"/>
        </w:rPr>
        <w:t>绪论</w:t>
      </w:r>
    </w:p>
    <w:p>
      <w:pPr>
        <w:spacing w:line="360" w:lineRule="auto"/>
        <w:ind w:firstLine="480" w:firstLineChars="200"/>
        <w:jc w:val="left"/>
        <w:rPr>
          <w:rFonts w:ascii="宋体" w:hAnsi="宋体" w:cs="楷体_GB2312"/>
          <w:bCs/>
          <w:color w:val="FF0000"/>
          <w:sz w:val="24"/>
        </w:rPr>
      </w:pPr>
      <w:r>
        <w:rPr>
          <w:rFonts w:hint="eastAsia" w:ascii="宋体" w:hAnsi="宋体" w:cs="楷体_GB2312"/>
          <w:bCs/>
          <w:sz w:val="24"/>
        </w:rPr>
        <w:t>2011年，中国的城市化率已过半，意味着中国已经从农业发展成工业，可是快速的发展会导致生态问题。除了雾霾等常见问题，因城市建设不到位引起的内涝也不容忽视。南京市2010年共投入资金180亿元人民币全面实施雨污分流工程，九年过去却收效甚微，每年的梅雨季还是能在南京看到海景。在百度有一条专门的百科词条来形容2015年6月2日这场大雨（图1</w:t>
      </w:r>
      <w:r>
        <w:rPr>
          <w:rFonts w:hint="eastAsia" w:ascii="宋体" w:hAnsi="宋体" w:cs="楷体_GB2312"/>
          <w:bCs/>
          <w:sz w:val="24"/>
          <w:lang w:val="en-US" w:eastAsia="zh-CN"/>
        </w:rPr>
        <w:t>.1</w:t>
      </w:r>
      <w:r>
        <w:rPr>
          <w:rFonts w:hint="eastAsia" w:ascii="宋体" w:hAnsi="宋体" w:cs="楷体_GB2312"/>
          <w:bCs/>
          <w:sz w:val="24"/>
        </w:rPr>
        <w:t>）。“内涝严重,多处道路隧道积水,水深没人腰”、“每小时降雨量在30~50毫米之间,一小时内流过水量相当于3.3亿吨”,新闻里这些经典词句向我们详细描述了当时的暴雨转化成内涝、雨水无法有效排除的情景。组成城市内涝的最小单位是建筑与市政道路，尤其是老旧道路，因时间久远且忽略保养存在破损问题，在梅雨或多雨时节就会雨水积聚。建造海绵体的屋顶、道路和建筑地面等基础设施都会硬化地下道路的结构和表面,至少七成的地下海绵体会通过降雨形成地下雨水径流,仅有两到三成的地下雨水形成径流能够直接从海绵体渗入地下,破坏了海绵体的功能破坏自然生态和破坏自然形成径流破坏海绵体的主要根源,就在于它可能会直接导致在干旱或者下雨时可能造成干旱、洪水时可能造成的生态系统瘫痪</w:t>
      </w:r>
      <w:r>
        <w:rPr>
          <w:rFonts w:hint="eastAsia" w:ascii="宋体" w:hAnsi="宋体" w:cs="楷体_GB2312"/>
          <w:bCs/>
          <w:sz w:val="24"/>
          <w:vertAlign w:val="superscript"/>
        </w:rPr>
        <w:t>[1]</w:t>
      </w:r>
      <w:r>
        <w:rPr>
          <w:rFonts w:hint="eastAsia" w:ascii="宋体" w:hAnsi="宋体" w:cs="楷体_GB2312"/>
          <w:bCs/>
          <w:sz w:val="24"/>
        </w:rPr>
        <w:t>。</w:t>
      </w:r>
    </w:p>
    <w:p>
      <w:pPr>
        <w:spacing w:line="360" w:lineRule="auto"/>
        <w:ind w:firstLine="840" w:firstLineChars="350"/>
        <w:jc w:val="left"/>
        <w:rPr>
          <w:rFonts w:ascii="宋体" w:hAnsi="宋体" w:cs="楷体_GB2312"/>
          <w:bCs/>
          <w:sz w:val="24"/>
        </w:rPr>
      </w:pPr>
      <w:r>
        <w:rPr>
          <w:rFonts w:ascii="宋体" w:hAnsi="宋体" w:cs="楷体_GB2312"/>
          <w:bCs/>
          <w:sz w:val="24"/>
        </w:rPr>
        <w:drawing>
          <wp:inline distT="0" distB="0" distL="0" distR="0">
            <wp:extent cx="3973830" cy="2251075"/>
            <wp:effectExtent l="0" t="0" r="7620" b="15875"/>
            <wp:docPr id="2" name="图片 1" descr="t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timg.jpg"/>
                    <pic:cNvPicPr>
                      <a:picLocks noChangeAspect="1"/>
                    </pic:cNvPicPr>
                  </pic:nvPicPr>
                  <pic:blipFill>
                    <a:blip r:embed="rId5" cstate="print"/>
                    <a:stretch>
                      <a:fillRect/>
                    </a:stretch>
                  </pic:blipFill>
                  <pic:spPr>
                    <a:xfrm>
                      <a:off x="0" y="0"/>
                      <a:ext cx="3973830" cy="2251075"/>
                    </a:xfrm>
                    <a:prstGeom prst="rect">
                      <a:avLst/>
                    </a:prstGeom>
                  </pic:spPr>
                </pic:pic>
              </a:graphicData>
            </a:graphic>
          </wp:inline>
        </w:drawing>
      </w:r>
    </w:p>
    <w:p>
      <w:pPr>
        <w:spacing w:line="360" w:lineRule="auto"/>
        <w:ind w:firstLine="420" w:firstLineChars="200"/>
        <w:jc w:val="center"/>
        <w:rPr>
          <w:rFonts w:ascii="宋体" w:hAnsi="宋体"/>
          <w:szCs w:val="21"/>
        </w:rPr>
      </w:pPr>
      <w:r>
        <w:rPr>
          <w:rFonts w:hint="eastAsia" w:ascii="宋体" w:hAnsi="宋体"/>
          <w:szCs w:val="21"/>
        </w:rPr>
        <w:t>图1.1  南京6.2暴雨图片（网络摘得）</w:t>
      </w:r>
    </w:p>
    <w:p>
      <w:pPr>
        <w:pStyle w:val="10"/>
        <w:shd w:val="clear" w:color="auto" w:fill="FFFFFF"/>
        <w:spacing w:before="0" w:beforeAutospacing="0" w:after="0" w:afterAutospacing="0" w:line="360" w:lineRule="auto"/>
        <w:ind w:firstLine="480" w:firstLineChars="200"/>
        <w:rPr>
          <w:rFonts w:cs="楷体_GB2312"/>
          <w:bCs/>
        </w:rPr>
      </w:pPr>
      <w:r>
        <w:rPr>
          <w:rStyle w:val="29"/>
          <w:rFonts w:hint="eastAsia"/>
          <w:color w:val="auto"/>
        </w:rPr>
        <w:t>产生城市内涝是由于城市排水设施落后，但其关键原因是地面上的建筑、城市范围扩大，部分地下管网设施无法满足现在的发展需求，而且排水系统维护方面管理不善</w:t>
      </w:r>
      <w:r>
        <w:rPr>
          <w:rFonts w:hint="eastAsia" w:cs="楷体_GB2312"/>
          <w:bCs/>
          <w:vertAlign w:val="superscript"/>
        </w:rPr>
        <w:t>[2]</w:t>
      </w:r>
      <w:r>
        <w:rPr>
          <w:rStyle w:val="29"/>
          <w:rFonts w:hint="eastAsia"/>
          <w:color w:val="auto"/>
        </w:rPr>
        <w:t>。为了减少地表流出、减少雨水的初期污染、管理了供给源所以要建造海绵城市</w:t>
      </w:r>
      <w:r>
        <w:rPr>
          <w:rFonts w:hint="eastAsia" w:cs="楷体_GB2312"/>
          <w:bCs/>
          <w:vertAlign w:val="superscript"/>
        </w:rPr>
        <w:t>[3]</w:t>
      </w:r>
      <w:r>
        <w:rPr>
          <w:rFonts w:hint="eastAsia" w:cs="楷体_GB2312"/>
          <w:bCs/>
        </w:rPr>
        <w:t>。其</w:t>
      </w:r>
      <w:r>
        <w:rPr>
          <w:rFonts w:hint="eastAsia" w:cs="楷体_GB2312"/>
        </w:rPr>
        <w:t>最主要的意义在于能够有效管理径流，具体表现在降雨时减少</w:t>
      </w:r>
      <w:r>
        <w:rPr>
          <w:rFonts w:hint="eastAsia" w:cs="楷体_GB2312"/>
          <w:bCs/>
        </w:rPr>
        <w:t>地表径流，缓解城市内涝，补充地下水。</w:t>
      </w:r>
    </w:p>
    <w:p>
      <w:pPr>
        <w:pStyle w:val="10"/>
        <w:shd w:val="clear" w:color="auto" w:fill="FFFFFF"/>
        <w:spacing w:before="0" w:beforeAutospacing="0" w:after="0" w:afterAutospacing="0" w:line="469" w:lineRule="atLeast"/>
        <w:ind w:firstLine="480" w:firstLineChars="200"/>
        <w:rPr>
          <w:rFonts w:cs="楷体_GB2312"/>
          <w:bCs/>
        </w:rPr>
      </w:pPr>
      <w:r>
        <w:rPr>
          <w:rFonts w:hint="eastAsia" w:cs="楷体_GB2312"/>
          <w:bCs/>
        </w:rPr>
        <w:t>海绵城市建设可以有效地削弱自然环境的影响,并分析法治建设和发展的趋势。我国将提出新的方案解决新时期城市污水和雨水管理薄弱或过甚,且有很大的价值对于全球水资源和水的污染问题。</w:t>
      </w:r>
    </w:p>
    <w:p>
      <w:pPr>
        <w:pStyle w:val="24"/>
        <w:numPr>
          <w:ilvl w:val="1"/>
          <w:numId w:val="2"/>
        </w:numPr>
        <w:spacing w:line="360" w:lineRule="auto"/>
        <w:ind w:left="567" w:firstLineChars="0"/>
        <w:rPr>
          <w:rFonts w:ascii="黑体" w:hAnsi="宋体" w:eastAsia="黑体"/>
          <w:b/>
          <w:bCs/>
          <w:sz w:val="28"/>
        </w:rPr>
      </w:pPr>
      <w:r>
        <w:rPr>
          <w:rFonts w:hint="eastAsia" w:ascii="黑体" w:hAnsi="宋体" w:eastAsia="黑体"/>
          <w:b/>
          <w:bCs/>
          <w:sz w:val="28"/>
        </w:rPr>
        <w:t>海绵城市相关概念</w:t>
      </w:r>
    </w:p>
    <w:p>
      <w:pPr>
        <w:pStyle w:val="24"/>
        <w:numPr>
          <w:ilvl w:val="0"/>
          <w:numId w:val="3"/>
        </w:numPr>
        <w:spacing w:line="360" w:lineRule="auto"/>
        <w:ind w:firstLineChars="0"/>
        <w:rPr>
          <w:rFonts w:ascii="宋体" w:hAnsi="宋体"/>
          <w:sz w:val="24"/>
        </w:rPr>
      </w:pPr>
      <w:r>
        <w:rPr>
          <w:rFonts w:hint="eastAsia" w:ascii="宋体" w:hAnsi="宋体"/>
          <w:sz w:val="24"/>
        </w:rPr>
        <w:t>低影响开发</w:t>
      </w:r>
    </w:p>
    <w:p>
      <w:pPr>
        <w:spacing w:line="360" w:lineRule="auto"/>
        <w:ind w:firstLine="420" w:firstLineChars="175"/>
        <w:rPr>
          <w:rFonts w:ascii="宋体" w:hAnsi="宋体"/>
          <w:sz w:val="24"/>
        </w:rPr>
      </w:pPr>
      <w:r>
        <w:rPr>
          <w:rFonts w:hint="eastAsia" w:ascii="宋体" w:hAnsi="宋体"/>
          <w:sz w:val="24"/>
        </w:rPr>
        <w:t>LID的完整名称是低影响发展（开发低影响雨水管理技术）,1990年代后期控制小规模分散水源污染，确保各地区尽可能接近自然水循环。一般来说，低影响发展可以根据其主要功能，例如渗透、存储、调节、传输和清洗来分类。不同类型的低影响发展设施包括各种形式，例如透水铺装、下沉式绿地、湿地、生态树池、蓄水罐等</w:t>
      </w:r>
      <w:r>
        <w:rPr>
          <w:rFonts w:hint="eastAsia" w:ascii="宋体" w:hAnsi="宋体"/>
          <w:sz w:val="24"/>
          <w:vertAlign w:val="superscript"/>
        </w:rPr>
        <w:t>[4]</w:t>
      </w:r>
      <w:r>
        <w:rPr>
          <w:rFonts w:hint="eastAsia" w:ascii="宋体" w:hAnsi="宋体"/>
          <w:sz w:val="24"/>
        </w:rPr>
        <w:t>。</w:t>
      </w:r>
    </w:p>
    <w:p>
      <w:pPr>
        <w:pStyle w:val="24"/>
        <w:numPr>
          <w:ilvl w:val="0"/>
          <w:numId w:val="3"/>
        </w:numPr>
        <w:spacing w:line="360" w:lineRule="auto"/>
        <w:ind w:firstLineChars="0"/>
        <w:rPr>
          <w:rFonts w:ascii="宋体" w:hAnsi="宋体"/>
          <w:sz w:val="24"/>
        </w:rPr>
      </w:pPr>
      <w:r>
        <w:rPr>
          <w:rFonts w:hint="eastAsia" w:ascii="宋体" w:hAnsi="宋体"/>
          <w:sz w:val="24"/>
        </w:rPr>
        <w:t>海绵城市</w:t>
      </w:r>
    </w:p>
    <w:p>
      <w:pPr>
        <w:spacing w:line="360" w:lineRule="auto"/>
        <w:ind w:firstLine="420" w:firstLineChars="175"/>
        <w:rPr>
          <w:rFonts w:ascii="宋体" w:hAnsi="宋体"/>
          <w:sz w:val="24"/>
        </w:rPr>
      </w:pPr>
      <w:r>
        <w:rPr>
          <w:rFonts w:hint="eastAsia" w:ascii="宋体" w:hAnsi="宋体"/>
          <w:sz w:val="24"/>
        </w:rPr>
        <w:t>据《海绵城市建设技术指南》,我国对海绵城市的定义如下：“城市是块海绵，能够适应不断变化的环境，管理自然灾害和其他问题。如果下雨，它们可以吸收、储存和清理水，必要时再储存水”。解释如下：(1)海绵城市措施的开展反映了城市对城市化更具抗御能力的理念；(2)海绵城主要由低影响发展及相关技术实现；(3)海绵城理念下雨水不能只是排走，除非作为资源加以储存</w:t>
      </w:r>
      <w:r>
        <w:rPr>
          <w:rFonts w:hint="eastAsia" w:ascii="宋体" w:hAnsi="宋体"/>
          <w:sz w:val="24"/>
          <w:vertAlign w:val="superscript"/>
        </w:rPr>
        <w:t>[5]</w:t>
      </w:r>
      <w:r>
        <w:rPr>
          <w:rFonts w:hint="eastAsia" w:ascii="宋体" w:hAnsi="宋体"/>
          <w:sz w:val="24"/>
        </w:rPr>
        <w:t>。其主要作用是实施有效措施来实现城市水质和降雨量的生态可持续性，对城市发展具有良好的基础保障作用。</w:t>
      </w:r>
    </w:p>
    <w:p>
      <w:pPr>
        <w:pStyle w:val="24"/>
        <w:numPr>
          <w:ilvl w:val="1"/>
          <w:numId w:val="4"/>
        </w:numPr>
        <w:spacing w:line="360" w:lineRule="auto"/>
        <w:ind w:firstLineChars="0"/>
        <w:rPr>
          <w:rFonts w:ascii="黑体" w:hAnsi="宋体" w:eastAsia="黑体"/>
          <w:b/>
          <w:bCs/>
          <w:sz w:val="28"/>
        </w:rPr>
      </w:pPr>
      <w:r>
        <w:rPr>
          <w:rFonts w:hint="eastAsia" w:ascii="黑体" w:hAnsi="宋体" w:eastAsia="黑体"/>
          <w:b/>
          <w:bCs/>
          <w:sz w:val="28"/>
        </w:rPr>
        <w:t xml:space="preserve"> 我国海绵城市现状</w:t>
      </w:r>
    </w:p>
    <w:p>
      <w:pPr>
        <w:pStyle w:val="24"/>
        <w:numPr>
          <w:ilvl w:val="2"/>
          <w:numId w:val="5"/>
        </w:numPr>
        <w:spacing w:line="360" w:lineRule="auto"/>
        <w:ind w:firstLineChars="0"/>
        <w:rPr>
          <w:rFonts w:ascii="黑体" w:hAnsi="宋体" w:eastAsia="黑体"/>
          <w:sz w:val="24"/>
        </w:rPr>
      </w:pPr>
      <w:r>
        <w:rPr>
          <w:rFonts w:hint="eastAsia" w:ascii="黑体" w:hAnsi="宋体" w:eastAsia="黑体"/>
          <w:sz w:val="24"/>
        </w:rPr>
        <w:t>研究现状</w:t>
      </w:r>
    </w:p>
    <w:p>
      <w:pPr>
        <w:pStyle w:val="4"/>
        <w:tabs>
          <w:tab w:val="left" w:pos="5832"/>
        </w:tabs>
        <w:ind w:firstLine="420" w:firstLineChars="0"/>
        <w:jc w:val="left"/>
        <w:rPr>
          <w:color w:val="000000"/>
          <w:sz w:val="24"/>
        </w:rPr>
      </w:pPr>
      <w:r>
        <w:rPr>
          <w:rFonts w:hint="eastAsia"/>
          <w:color w:val="000000"/>
          <w:sz w:val="24"/>
        </w:rPr>
        <w:t>我国对海绵城市的研究主要停留在基础理论。如：庞涵月指出在海绵城市道路设计中常见的下凹式绿地、植被滞留带等改变了紧靠排水管的传统模式，可以在收集雨水、吸收较大颗粒的同时保留所需的雨水</w:t>
      </w:r>
      <w:r>
        <w:rPr>
          <w:rFonts w:hint="eastAsia"/>
          <w:color w:val="000000"/>
          <w:sz w:val="24"/>
          <w:vertAlign w:val="superscript"/>
        </w:rPr>
        <w:t>[6]</w:t>
      </w:r>
      <w:r>
        <w:rPr>
          <w:rFonts w:hint="eastAsia"/>
          <w:color w:val="000000"/>
          <w:sz w:val="24"/>
        </w:rPr>
        <w:t>。任心欣等以深圳某采用低影响开发理念的小区为例，解释了SWMM模型用于分析低冲击示范项目的降雨量系数。该项目在不同的降雨量条件下达到每年总流量控制率，以及降雨量系数与相关降雨量系数之间的关系</w:t>
      </w:r>
      <w:r>
        <w:rPr>
          <w:rFonts w:hint="eastAsia"/>
          <w:color w:val="000000"/>
          <w:sz w:val="24"/>
          <w:vertAlign w:val="superscript"/>
        </w:rPr>
        <w:t>[7]</w:t>
      </w:r>
      <w:r>
        <w:rPr>
          <w:rFonts w:hint="eastAsia"/>
          <w:color w:val="000000"/>
          <w:sz w:val="24"/>
        </w:rPr>
        <w:t>。胡蔚通过对设计排水沟的公式进行分析，结论是设计排水沟与雨水管道排水系数有关</w:t>
      </w:r>
      <w:r>
        <w:rPr>
          <w:rFonts w:hint="eastAsia"/>
          <w:color w:val="000000"/>
          <w:sz w:val="24"/>
          <w:vertAlign w:val="superscript"/>
        </w:rPr>
        <w:t>[8]</w:t>
      </w:r>
      <w:r>
        <w:rPr>
          <w:rFonts w:hint="eastAsia"/>
          <w:color w:val="000000"/>
          <w:sz w:val="24"/>
        </w:rPr>
        <w:t>。</w:t>
      </w:r>
    </w:p>
    <w:p>
      <w:pPr>
        <w:pStyle w:val="4"/>
        <w:tabs>
          <w:tab w:val="left" w:pos="5832"/>
        </w:tabs>
        <w:ind w:firstLine="420" w:firstLineChars="0"/>
        <w:jc w:val="left"/>
        <w:rPr>
          <w:color w:val="000000"/>
          <w:sz w:val="24"/>
        </w:rPr>
      </w:pPr>
      <w:r>
        <w:rPr>
          <w:rFonts w:hint="eastAsia"/>
          <w:color w:val="000000"/>
          <w:sz w:val="24"/>
        </w:rPr>
        <w:t>如何实现“海绵城市建设实施和70%的降雨量可以被就地取材”这一核心目标，对全市道路建设具有重要意义。谌东华分析和比较目前市政道路规划中使用的不同材料，认为沥青因为具有很好的透水性而非常适合作为路面建造的材料</w:t>
      </w:r>
      <w:r>
        <w:rPr>
          <w:rFonts w:hint="eastAsia"/>
          <w:color w:val="000000"/>
          <w:sz w:val="24"/>
          <w:vertAlign w:val="superscript"/>
        </w:rPr>
        <w:t>[9]</w:t>
      </w:r>
      <w:r>
        <w:rPr>
          <w:rFonts w:hint="eastAsia"/>
          <w:color w:val="000000"/>
          <w:sz w:val="24"/>
        </w:rPr>
        <w:t>。薛健通过对盐城的城市路基、道路附属设施、人行道机动车道和城市绿化带的设计进行研究，提出了在设计中应该注意且避免的问题例如增加进水口的进水率并以此调整公路坡度</w:t>
      </w:r>
      <w:r>
        <w:rPr>
          <w:rFonts w:hint="eastAsia"/>
          <w:color w:val="000000"/>
          <w:sz w:val="24"/>
          <w:vertAlign w:val="superscript"/>
        </w:rPr>
        <w:t>[10]</w:t>
      </w:r>
      <w:r>
        <w:rPr>
          <w:rFonts w:hint="eastAsia"/>
          <w:color w:val="000000"/>
          <w:sz w:val="24"/>
        </w:rPr>
        <w:t>。在道路设计时应采用新型透水材料，有助于将地表的热量散发；确保绿化带中心低于周边高度。蔡琪根据下沉式道路的特性，制定了高水高排、先蓄后排的原则，着重强调了对设计参数、水泵选型与控制和管道布置与断面布置这些问题的注意</w:t>
      </w:r>
      <w:r>
        <w:rPr>
          <w:rFonts w:hint="eastAsia"/>
          <w:color w:val="000000"/>
          <w:sz w:val="24"/>
          <w:vertAlign w:val="superscript"/>
        </w:rPr>
        <w:t>[11]</w:t>
      </w:r>
      <w:r>
        <w:rPr>
          <w:rFonts w:hint="eastAsia"/>
          <w:color w:val="000000"/>
          <w:sz w:val="24"/>
        </w:rPr>
        <w:t>。</w:t>
      </w:r>
    </w:p>
    <w:p>
      <w:pPr>
        <w:spacing w:line="360" w:lineRule="auto"/>
        <w:ind w:firstLine="420" w:firstLineChars="175"/>
        <w:rPr>
          <w:rFonts w:ascii="宋体" w:hAnsi="宋体"/>
          <w:sz w:val="24"/>
        </w:rPr>
      </w:pPr>
      <w:r>
        <w:rPr>
          <w:rFonts w:hint="eastAsia" w:ascii="宋体" w:hAnsi="宋体"/>
          <w:color w:val="000000"/>
          <w:sz w:val="24"/>
        </w:rPr>
        <w:t>也有学者针对径流污染问题做了研究。宫曼莉等人通过对样品如地表颗粒物和降雨径流的采集，在试验中测量了杂质的浓度(SS)，以便在渗透生物后延曲线系统的累积运输过程中，分析杂质浓度的浓度变化。使用数据分析方法后得出“透水沥青路面粗粒径颗粒物的质量占比与透水沥青路面的建造材料有关”等结论</w:t>
      </w:r>
      <w:r>
        <w:rPr>
          <w:rFonts w:hint="eastAsia" w:ascii="宋体" w:hAnsi="宋体"/>
          <w:color w:val="000000"/>
          <w:sz w:val="24"/>
          <w:vertAlign w:val="superscript"/>
        </w:rPr>
        <w:t>[12]</w:t>
      </w:r>
      <w:r>
        <w:rPr>
          <w:rFonts w:hint="eastAsia" w:ascii="宋体" w:hAnsi="宋体"/>
          <w:color w:val="000000"/>
          <w:sz w:val="24"/>
        </w:rPr>
        <w:t>。杨栩利用室内模拟土柱试验和野外现场实验，建立了模型并利用模型预测径流与污染物削减，得出了降雨强度对绿地径流量影响最大而植被覆盖率影响最小等结论</w:t>
      </w:r>
      <w:r>
        <w:rPr>
          <w:rFonts w:hint="eastAsia" w:ascii="宋体" w:hAnsi="宋体"/>
          <w:color w:val="000000"/>
          <w:sz w:val="24"/>
          <w:vertAlign w:val="superscript"/>
        </w:rPr>
        <w:t>[13]</w:t>
      </w:r>
      <w:r>
        <w:rPr>
          <w:rFonts w:hint="eastAsia" w:ascii="宋体" w:hAnsi="宋体"/>
          <w:color w:val="000000"/>
          <w:sz w:val="24"/>
        </w:rPr>
        <w:t>。</w:t>
      </w:r>
    </w:p>
    <w:p>
      <w:pPr>
        <w:pStyle w:val="24"/>
        <w:numPr>
          <w:ilvl w:val="2"/>
          <w:numId w:val="5"/>
        </w:numPr>
        <w:spacing w:line="360" w:lineRule="auto"/>
        <w:ind w:firstLineChars="0"/>
        <w:rPr>
          <w:rFonts w:ascii="黑体" w:hAnsi="宋体" w:eastAsia="黑体"/>
          <w:sz w:val="24"/>
        </w:rPr>
      </w:pPr>
      <w:r>
        <w:rPr>
          <w:rFonts w:hint="eastAsia" w:ascii="黑体" w:hAnsi="宋体" w:eastAsia="黑体"/>
          <w:sz w:val="24"/>
        </w:rPr>
        <w:t>建设现状</w:t>
      </w:r>
    </w:p>
    <w:p>
      <w:pPr>
        <w:pStyle w:val="4"/>
        <w:tabs>
          <w:tab w:val="left" w:pos="5832"/>
        </w:tabs>
        <w:ind w:firstLine="420" w:firstLineChars="0"/>
        <w:jc w:val="left"/>
        <w:rPr>
          <w:color w:val="000000"/>
          <w:sz w:val="24"/>
        </w:rPr>
      </w:pPr>
      <w:r>
        <w:rPr>
          <w:rFonts w:hint="eastAsia"/>
          <w:color w:val="000000"/>
          <w:sz w:val="24"/>
        </w:rPr>
        <w:t>我国总理李克强于2015年9月29日召开国务委员会会议，要求加快建造海绵城市，合理利用雨水管道。在试验过程中，新的城市地区应遵循标准，符合监测雨水可持续性的要求，雨水应由城市来衍生和使用，以便城市建设与水安全、水资源和环境保护之间的协同增效作用，水生环境和水生生态应该保持平衡。旧城改造坚持问题导向，城市住房的改善与村庄住房的改造、农村住房的改造和古老住房的翻新相结合。要通过沉浸式、积水式、黑臭水体整治，改善城市居住环境，在城市热岛问题上取得突破。</w:t>
      </w:r>
    </w:p>
    <w:p>
      <w:pPr>
        <w:pStyle w:val="4"/>
        <w:tabs>
          <w:tab w:val="left" w:pos="5832"/>
        </w:tabs>
        <w:ind w:firstLine="420" w:firstLineChars="0"/>
        <w:jc w:val="left"/>
        <w:rPr>
          <w:color w:val="000000"/>
          <w:sz w:val="24"/>
        </w:rPr>
      </w:pPr>
      <w:r>
        <w:rPr>
          <w:rFonts w:hint="eastAsia"/>
          <w:color w:val="000000"/>
          <w:sz w:val="24"/>
        </w:rPr>
        <w:t>近年来，海绵城的建设产生了积极的影响。例如为了有效减缓城市洪水，北京在环路凹桥部分重建的基础是在海绵城市的理念上，使其沥水、滞水、蓄水、排渍等措施广泛用于提高河西区的排水保护能力。</w:t>
      </w:r>
    </w:p>
    <w:p>
      <w:pPr>
        <w:pStyle w:val="4"/>
        <w:tabs>
          <w:tab w:val="left" w:pos="5832"/>
        </w:tabs>
        <w:ind w:firstLine="420" w:firstLineChars="0"/>
        <w:jc w:val="left"/>
        <w:rPr>
          <w:color w:val="000000"/>
          <w:sz w:val="24"/>
        </w:rPr>
      </w:pPr>
      <w:r>
        <w:rPr>
          <w:rFonts w:hint="eastAsia"/>
          <w:color w:val="000000"/>
          <w:sz w:val="24"/>
        </w:rPr>
        <w:t>而在城市黑臭水体得到整治方面，原来在南京市玄武区蒋王庙附近有一条黑臭河道贯穿整个建筑群。在实施海绵城市试点项目之后，政府采取了一些综合措施，如生态清理、清除水体中的黑色臭味和大幅度改善河流的生态环境。</w:t>
      </w:r>
    </w:p>
    <w:p>
      <w:pPr>
        <w:pStyle w:val="24"/>
        <w:numPr>
          <w:ilvl w:val="2"/>
          <w:numId w:val="5"/>
        </w:numPr>
        <w:spacing w:line="360" w:lineRule="auto"/>
        <w:ind w:firstLineChars="0"/>
        <w:rPr>
          <w:rFonts w:ascii="黑体" w:hAnsi="宋体" w:eastAsia="黑体"/>
          <w:sz w:val="24"/>
        </w:rPr>
      </w:pPr>
      <w:r>
        <w:rPr>
          <w:rFonts w:hint="eastAsia" w:ascii="黑体" w:hAnsi="宋体" w:eastAsia="黑体"/>
          <w:sz w:val="24"/>
        </w:rPr>
        <w:t>国家政策</w:t>
      </w:r>
    </w:p>
    <w:p>
      <w:pPr>
        <w:spacing w:line="360" w:lineRule="auto"/>
        <w:ind w:firstLine="420" w:firstLineChars="175"/>
        <w:rPr>
          <w:rFonts w:ascii="宋体" w:hAnsi="宋体"/>
          <w:color w:val="000000"/>
          <w:sz w:val="24"/>
        </w:rPr>
      </w:pPr>
      <w:r>
        <w:rPr>
          <w:rFonts w:hint="eastAsia" w:ascii="宋体" w:hAnsi="宋体"/>
          <w:color w:val="000000"/>
          <w:sz w:val="24"/>
        </w:rPr>
        <w:t>与国内降水问题的重视程度相一致，关于降雨的研究和应用范围正在扩大，相关学者已经研究和实践了十多年，并于2012年之后形成了“海绵城市”。2013年3月，习近平总书记提出了“水经济第一、空间平衡、系统管理、多方兼顾”的概念；2014年10月，为了正式提出并明确了海绵城市的概念，住房和城乡建设部发布了《海绵城市建设指南》。</w:t>
      </w:r>
      <w:r>
        <w:rPr>
          <w:rFonts w:hint="eastAsia" w:ascii="宋体" w:hAnsi="宋体"/>
          <w:sz w:val="24"/>
        </w:rPr>
        <w:t>2015年7月10日，住建部公布城市建筑物绩效评估和评价方法（试点实施），将绩效评估和评价指标分为三个阶段：城市自查、省级评估和地方检查。</w:t>
      </w:r>
    </w:p>
    <w:p>
      <w:pPr>
        <w:spacing w:line="360" w:lineRule="auto"/>
        <w:ind w:firstLine="420" w:firstLineChars="175"/>
        <w:rPr>
          <w:rFonts w:ascii="宋体" w:hAnsi="宋体"/>
          <w:color w:val="000000"/>
          <w:sz w:val="24"/>
        </w:rPr>
      </w:pPr>
      <w:r>
        <w:rPr>
          <w:rFonts w:hint="eastAsia" w:ascii="宋体" w:hAnsi="宋体"/>
          <w:color w:val="000000"/>
          <w:sz w:val="24"/>
        </w:rPr>
        <w:t>2018年12月，住房和建筑部宣布了“</w:t>
      </w:r>
      <w:r>
        <w:rPr>
          <w:rFonts w:hint="eastAsia" w:ascii="宋体" w:hAnsi="宋体"/>
          <w:sz w:val="24"/>
        </w:rPr>
        <w:t>关于颁布</w:t>
      </w:r>
      <w:r>
        <w:rPr>
          <w:rFonts w:hint="eastAsia" w:ascii="宋体" w:hAnsi="宋体"/>
          <w:color w:val="000000"/>
          <w:sz w:val="24"/>
        </w:rPr>
        <w:t>海绵城市建设评价标准</w:t>
      </w:r>
      <w:r>
        <w:rPr>
          <w:rFonts w:hint="eastAsia" w:ascii="宋体" w:hAnsi="宋体"/>
          <w:sz w:val="24"/>
        </w:rPr>
        <w:t>的公告</w:t>
      </w:r>
      <w:r>
        <w:rPr>
          <w:rFonts w:hint="eastAsia" w:ascii="宋体" w:hAnsi="宋体"/>
          <w:color w:val="000000"/>
          <w:sz w:val="24"/>
        </w:rPr>
        <w:t>”，特别是中国批准了</w:t>
      </w:r>
      <w:r>
        <w:rPr>
          <w:rFonts w:ascii="宋体" w:hAnsi="宋体"/>
          <w:color w:val="000000"/>
          <w:sz w:val="24"/>
        </w:rPr>
        <w:t>《海绵城市建设评价标准》</w:t>
      </w:r>
      <w:r>
        <w:rPr>
          <w:rFonts w:hint="eastAsia" w:ascii="宋体" w:hAnsi="宋体"/>
          <w:color w:val="000000"/>
          <w:sz w:val="24"/>
        </w:rPr>
        <w:t>作为国家标准，实施从2019年8月1日起。</w:t>
      </w:r>
    </w:p>
    <w:p>
      <w:pPr>
        <w:pStyle w:val="24"/>
        <w:numPr>
          <w:ilvl w:val="2"/>
          <w:numId w:val="5"/>
        </w:numPr>
        <w:spacing w:line="360" w:lineRule="auto"/>
        <w:ind w:firstLineChars="0"/>
        <w:rPr>
          <w:rFonts w:ascii="黑体" w:hAnsi="宋体" w:eastAsia="黑体"/>
          <w:sz w:val="24"/>
        </w:rPr>
      </w:pPr>
      <w:r>
        <w:rPr>
          <w:rFonts w:hint="eastAsia" w:ascii="黑体" w:hAnsi="宋体" w:eastAsia="黑体"/>
          <w:sz w:val="24"/>
        </w:rPr>
        <w:t>目前存在问题</w:t>
      </w:r>
    </w:p>
    <w:p>
      <w:pPr>
        <w:pStyle w:val="24"/>
        <w:numPr>
          <w:ilvl w:val="0"/>
          <w:numId w:val="6"/>
        </w:numPr>
        <w:spacing w:line="360" w:lineRule="auto"/>
        <w:ind w:left="363" w:hanging="363" w:firstLineChars="0"/>
        <w:rPr>
          <w:rFonts w:ascii="宋体" w:hAnsi="宋体"/>
          <w:sz w:val="24"/>
        </w:rPr>
      </w:pPr>
      <w:r>
        <w:rPr>
          <w:rFonts w:hint="eastAsia" w:ascii="宋体" w:hAnsi="宋体"/>
          <w:sz w:val="24"/>
        </w:rPr>
        <w:t>基础欠缺</w:t>
      </w:r>
    </w:p>
    <w:p>
      <w:pPr>
        <w:spacing w:line="360" w:lineRule="auto"/>
        <w:ind w:firstLine="480" w:firstLineChars="200"/>
        <w:rPr>
          <w:rFonts w:ascii="宋体" w:hAnsi="宋体"/>
          <w:sz w:val="24"/>
        </w:rPr>
      </w:pPr>
      <w:r>
        <w:rPr>
          <w:rFonts w:hint="eastAsia" w:ascii="宋体" w:hAnsi="宋体"/>
          <w:sz w:val="24"/>
        </w:rPr>
        <w:t>我国海绵城市发展起步较晚，并没有丰富的经验积累和历史依据可以参考</w:t>
      </w:r>
      <w:r>
        <w:rPr>
          <w:rFonts w:hint="eastAsia" w:ascii="宋体" w:hAnsi="宋体"/>
          <w:sz w:val="24"/>
          <w:vertAlign w:val="superscript"/>
        </w:rPr>
        <w:t>[14]</w:t>
      </w:r>
      <w:r>
        <w:rPr>
          <w:rFonts w:hint="eastAsia" w:ascii="宋体" w:hAnsi="宋体"/>
          <w:sz w:val="24"/>
        </w:rPr>
        <w:t>。并且现阶段，我国海绵城市的主要构建依赖于政府的宏观调控，然而宏观调控并不能全面的考虑到实际建设中所存在的问题。不同地区的海绵城市建设会遇到不同的问题和考验，相关主体在这种情况下要制定科学合理的措施加以解决，有时不能很好的适应和贯彻海绵城市的本质理念和内涵。</w:t>
      </w:r>
    </w:p>
    <w:p>
      <w:pPr>
        <w:pStyle w:val="24"/>
        <w:numPr>
          <w:ilvl w:val="0"/>
          <w:numId w:val="6"/>
        </w:numPr>
        <w:spacing w:line="360" w:lineRule="auto"/>
        <w:ind w:firstLineChars="0"/>
        <w:rPr>
          <w:rFonts w:ascii="宋体" w:hAnsi="宋体"/>
          <w:sz w:val="24"/>
        </w:rPr>
      </w:pPr>
      <w:r>
        <w:rPr>
          <w:rFonts w:hint="eastAsia" w:ascii="宋体" w:hAnsi="宋体"/>
          <w:sz w:val="24"/>
        </w:rPr>
        <w:t>透水混凝土路面利用率低</w:t>
      </w:r>
    </w:p>
    <w:p>
      <w:pPr>
        <w:spacing w:line="360" w:lineRule="auto"/>
        <w:ind w:firstLine="480" w:firstLineChars="200"/>
        <w:rPr>
          <w:rFonts w:ascii="宋体" w:hAnsi="宋体"/>
          <w:sz w:val="24"/>
        </w:rPr>
      </w:pPr>
      <w:r>
        <w:rPr>
          <w:rFonts w:ascii="宋体" w:hAnsi="宋体"/>
          <w:sz w:val="24"/>
        </w:rPr>
        <w:t>目前我国在海绵城市建设中虽然已经取得了一些成效，但是距离国家要求的建设生态园林城市还有不小的差距，在建设生态园林城市中要求透水混凝土的建设面积不小于总面积的一半。</w:t>
      </w:r>
    </w:p>
    <w:p>
      <w:pPr>
        <w:spacing w:line="360" w:lineRule="auto"/>
        <w:ind w:firstLine="480" w:firstLineChars="200"/>
        <w:rPr>
          <w:rFonts w:ascii="宋体" w:hAnsi="宋体"/>
          <w:sz w:val="24"/>
        </w:rPr>
      </w:pPr>
      <w:r>
        <w:rPr>
          <w:rFonts w:ascii="宋体" w:hAnsi="宋体"/>
          <w:sz w:val="24"/>
        </w:rPr>
        <w:t>而在国外，透水混凝土的利用率已经可以达到80%，我国的利用率和国外相比还有很大的差距</w:t>
      </w:r>
      <w:r>
        <w:rPr>
          <w:rFonts w:hint="eastAsia" w:ascii="宋体" w:hAnsi="宋体"/>
          <w:sz w:val="24"/>
          <w:vertAlign w:val="superscript"/>
        </w:rPr>
        <w:t>[15]</w:t>
      </w:r>
      <w:r>
        <w:rPr>
          <w:rFonts w:ascii="宋体" w:hAnsi="宋体"/>
          <w:sz w:val="24"/>
        </w:rPr>
        <w:t>。因此，在我国透水混凝土的利用率还有待提高，透水混凝土的技术、破坏机理以及施工技术还需要进一步研究。</w:t>
      </w:r>
      <w:r>
        <w:rPr>
          <w:rFonts w:hint="eastAsia" w:ascii="宋体" w:hAnsi="宋体"/>
          <w:sz w:val="24"/>
        </w:rPr>
        <w:t xml:space="preserve"> </w:t>
      </w:r>
    </w:p>
    <w:p>
      <w:pPr>
        <w:pStyle w:val="24"/>
        <w:numPr>
          <w:ilvl w:val="0"/>
          <w:numId w:val="6"/>
        </w:numPr>
        <w:spacing w:line="360" w:lineRule="auto"/>
        <w:ind w:firstLineChars="0"/>
        <w:rPr>
          <w:rFonts w:ascii="宋体" w:hAnsi="宋体"/>
          <w:sz w:val="24"/>
        </w:rPr>
      </w:pPr>
      <w:r>
        <w:rPr>
          <w:rFonts w:hint="eastAsia" w:ascii="宋体" w:hAnsi="宋体"/>
          <w:sz w:val="24"/>
        </w:rPr>
        <w:t>环境问题突出</w:t>
      </w:r>
    </w:p>
    <w:p>
      <w:pPr>
        <w:spacing w:line="360" w:lineRule="auto"/>
        <w:ind w:firstLine="480" w:firstLineChars="200"/>
        <w:rPr>
          <w:rFonts w:ascii="宋体" w:hAnsi="宋体"/>
          <w:sz w:val="24"/>
        </w:rPr>
      </w:pPr>
      <w:r>
        <w:rPr>
          <w:rFonts w:hint="eastAsia" w:ascii="宋体" w:hAnsi="宋体"/>
          <w:sz w:val="24"/>
        </w:rPr>
        <w:t>当下我国海绵城市建设所面临的主要问题和解决的主要方向便在于对城市水资源生态环境的管理。现阶段城市海绵建筑以及相应绿化系统的构建并不完善，具体的分布也不够合理并不能满足城市中不同区域的雨水排放要求。这就在很大程度上导致了城市雨水的积压，严重影响了人们的交通出行。而海绵城市的建设恰恰是为了解决城市内涝问题，这也是其面临的最主要任务。</w:t>
      </w:r>
    </w:p>
    <w:p>
      <w:pPr>
        <w:pStyle w:val="24"/>
        <w:numPr>
          <w:ilvl w:val="1"/>
          <w:numId w:val="4"/>
        </w:numPr>
        <w:spacing w:line="360" w:lineRule="auto"/>
        <w:ind w:firstLineChars="0"/>
        <w:rPr>
          <w:rFonts w:ascii="黑体" w:hAnsi="宋体" w:eastAsia="黑体"/>
          <w:b/>
          <w:bCs/>
          <w:sz w:val="28"/>
        </w:rPr>
      </w:pPr>
      <w:r>
        <w:rPr>
          <w:rFonts w:hint="eastAsia" w:ascii="黑体" w:hAnsi="宋体" w:eastAsia="黑体"/>
          <w:b/>
          <w:bCs/>
          <w:sz w:val="28"/>
        </w:rPr>
        <w:t xml:space="preserve"> 本课题要解决的问题</w:t>
      </w:r>
      <w:r>
        <w:rPr>
          <w:rFonts w:hint="eastAsia" w:ascii="黑体" w:hAnsi="宋体" w:eastAsia="黑体"/>
          <w:b/>
          <w:bCs/>
          <w:sz w:val="28"/>
        </w:rPr>
        <w:tab/>
      </w:r>
    </w:p>
    <w:p>
      <w:pPr>
        <w:pStyle w:val="24"/>
        <w:numPr>
          <w:ilvl w:val="2"/>
          <w:numId w:val="4"/>
        </w:numPr>
        <w:spacing w:line="360" w:lineRule="auto"/>
        <w:ind w:firstLineChars="0"/>
        <w:rPr>
          <w:rFonts w:ascii="黑体" w:hAnsi="宋体" w:eastAsia="黑体"/>
          <w:b/>
          <w:bCs/>
          <w:sz w:val="28"/>
        </w:rPr>
      </w:pPr>
      <w:r>
        <w:rPr>
          <w:rFonts w:hint="eastAsia" w:ascii="黑体" w:hAnsi="宋体" w:eastAsia="黑体"/>
          <w:sz w:val="24"/>
        </w:rPr>
        <w:t>任务</w:t>
      </w:r>
    </w:p>
    <w:p>
      <w:pPr>
        <w:pStyle w:val="24"/>
        <w:spacing w:line="360" w:lineRule="auto"/>
        <w:ind w:firstLine="480"/>
        <w:rPr>
          <w:rFonts w:ascii="宋体" w:hAnsi="宋体"/>
          <w:color w:val="FF0000"/>
          <w:sz w:val="24"/>
        </w:rPr>
      </w:pPr>
      <w:r>
        <w:rPr>
          <w:rFonts w:hint="eastAsia" w:ascii="宋体" w:hAnsi="宋体"/>
          <w:sz w:val="24"/>
        </w:rPr>
        <w:t>本文以国内既有的市政道路为研究对象，讨论建立海绵城市规划中的评级制度。年径流控制率和年径流污染物总减排率被用作主要的评估指标，鸿业开发模拟系统被用作主要的评估方法，与外国评估指标如美国的低影响发展和澳大利亚的水敏感城市进行参考对比。通过总结城市建设中的道路综合体改造设计经验，对雨水进行控制。</w:t>
      </w:r>
    </w:p>
    <w:p>
      <w:pPr>
        <w:pStyle w:val="24"/>
        <w:numPr>
          <w:ilvl w:val="2"/>
          <w:numId w:val="4"/>
        </w:numPr>
        <w:spacing w:line="360" w:lineRule="auto"/>
        <w:ind w:firstLineChars="0"/>
        <w:rPr>
          <w:rFonts w:ascii="黑体" w:hAnsi="宋体" w:eastAsia="黑体"/>
          <w:b/>
          <w:bCs/>
          <w:sz w:val="28"/>
        </w:rPr>
      </w:pPr>
      <w:r>
        <w:rPr>
          <w:rFonts w:hint="eastAsia" w:ascii="黑体" w:hAnsi="宋体" w:eastAsia="黑体"/>
          <w:sz w:val="24"/>
        </w:rPr>
        <w:t>技术路线</w:t>
      </w:r>
      <w:r>
        <w:rPr>
          <w:rFonts w:ascii="黑体" w:hAnsi="宋体" w:eastAsia="黑体"/>
          <w:sz w:val="24"/>
        </w:rPr>
        <w:tab/>
      </w:r>
    </w:p>
    <w:p>
      <w:pPr>
        <w:tabs>
          <w:tab w:val="left" w:pos="3181"/>
        </w:tabs>
        <w:spacing w:line="360" w:lineRule="auto"/>
        <w:ind w:firstLine="480" w:firstLineChars="200"/>
        <w:jc w:val="left"/>
        <w:rPr>
          <w:rFonts w:ascii="宋体" w:hAnsi="宋体"/>
          <w:color w:val="000000"/>
          <w:sz w:val="24"/>
        </w:rPr>
      </w:pPr>
      <w:r>
        <w:rPr>
          <w:rFonts w:hint="eastAsia" w:ascii="宋体" w:hAnsi="宋体"/>
          <w:color w:val="000000"/>
          <w:sz w:val="24"/>
        </w:rPr>
        <w:t xml:space="preserve">本文遵循理论分析和软件设计结合的研究过程，以层层递进的方式开展。具体研究技术路线如图1.2所示。 </w:t>
      </w:r>
      <w:r>
        <w:rPr>
          <w:rFonts w:ascii="黑体" w:hAnsi="宋体" w:eastAsia="黑体"/>
          <w:sz w:val="24"/>
        </w:rPr>
        <w:drawing>
          <wp:inline distT="0" distB="0" distL="0" distR="0">
            <wp:extent cx="5080635" cy="2929255"/>
            <wp:effectExtent l="0" t="0" r="0" b="0"/>
            <wp:docPr id="5" name="图片 3" descr="流程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流程图.png"/>
                    <pic:cNvPicPr>
                      <a:picLocks noChangeAspect="1"/>
                    </pic:cNvPicPr>
                  </pic:nvPicPr>
                  <pic:blipFill>
                    <a:blip r:embed="rId6" cstate="print"/>
                    <a:stretch>
                      <a:fillRect/>
                    </a:stretch>
                  </pic:blipFill>
                  <pic:spPr>
                    <a:xfrm>
                      <a:off x="0" y="0"/>
                      <a:ext cx="5080635" cy="2929255"/>
                    </a:xfrm>
                    <a:prstGeom prst="rect">
                      <a:avLst/>
                    </a:prstGeom>
                  </pic:spPr>
                </pic:pic>
              </a:graphicData>
            </a:graphic>
          </wp:inline>
        </w:drawing>
      </w:r>
    </w:p>
    <w:p>
      <w:pPr>
        <w:spacing w:line="360" w:lineRule="auto"/>
        <w:ind w:firstLine="420" w:firstLineChars="200"/>
        <w:jc w:val="center"/>
        <w:rPr>
          <w:rFonts w:ascii="宋体" w:hAnsi="宋体"/>
          <w:szCs w:val="21"/>
        </w:rPr>
      </w:pPr>
      <w:r>
        <w:rPr>
          <w:rFonts w:hint="eastAsia" w:ascii="宋体" w:hAnsi="宋体"/>
          <w:szCs w:val="21"/>
        </w:rPr>
        <w:t>图1.2</w:t>
      </w:r>
      <w:r>
        <w:rPr>
          <w:rFonts w:ascii="宋体" w:hAnsi="宋体"/>
          <w:szCs w:val="21"/>
        </w:rPr>
        <w:t xml:space="preserve">  </w:t>
      </w:r>
      <w:r>
        <w:rPr>
          <w:rFonts w:hint="eastAsia" w:ascii="宋体" w:hAnsi="宋体"/>
          <w:szCs w:val="21"/>
        </w:rPr>
        <w:t>论文技术路线图(来源：作者自绘)</w:t>
      </w:r>
    </w:p>
    <w:p>
      <w:pPr>
        <w:pStyle w:val="24"/>
        <w:numPr>
          <w:ilvl w:val="1"/>
          <w:numId w:val="4"/>
        </w:numPr>
        <w:spacing w:line="360" w:lineRule="auto"/>
        <w:ind w:firstLineChars="0"/>
        <w:rPr>
          <w:rFonts w:ascii="黑体" w:hAnsi="宋体" w:eastAsia="黑体"/>
          <w:b/>
          <w:bCs/>
          <w:sz w:val="28"/>
        </w:rPr>
      </w:pPr>
      <w:r>
        <w:rPr>
          <w:rFonts w:hint="eastAsia" w:ascii="黑体" w:hAnsi="宋体" w:eastAsia="黑体"/>
          <w:b/>
          <w:bCs/>
          <w:sz w:val="28"/>
        </w:rPr>
        <w:t xml:space="preserve"> 本章小结</w:t>
      </w:r>
    </w:p>
    <w:p>
      <w:pPr>
        <w:spacing w:line="360" w:lineRule="auto"/>
        <w:ind w:firstLine="480" w:firstLineChars="200"/>
        <w:rPr>
          <w:rFonts w:ascii="宋体" w:hAnsi="宋体"/>
          <w:color w:val="000000"/>
          <w:sz w:val="24"/>
        </w:rPr>
      </w:pPr>
      <w:r>
        <w:rPr>
          <w:rFonts w:hint="eastAsia" w:ascii="宋体" w:hAnsi="宋体"/>
          <w:color w:val="000000"/>
          <w:sz w:val="24"/>
        </w:rPr>
        <w:t>本章首先整理了海绵城市的相关理论，主要包括海绵城市和低影响发展，介绍了这些理论的意义和研究的内容。海绵城市是在确定城市重要的水生生态要素（主要是城市河流、湖泊等）后，对其进行水生生态要素的识别，正在恢复城市生态水文学（将湿地和绿地包括在内），增加城市抗洪、抗水生环境恶化的弹性，实现城市的可持续发展，是应对城市水文生态循环变化等不利影响的一种对策。通过研究国内政策，可以获知国家在海绵城市建设中起到非常关键的领导作用。先是出台一系列建设方案和评价标准等文件，再是通过海绵城市试点城市来鼓励和引领其他省市加快海绵城市建设步伐。目前各省市已经紧锣密鼓的开始如黑臭河政治和旧路翻新等工程，为海绵城市建设打好基础。</w:t>
      </w:r>
    </w:p>
    <w:p>
      <w:pPr>
        <w:spacing w:line="360" w:lineRule="auto"/>
        <w:ind w:firstLine="480" w:firstLineChars="200"/>
        <w:rPr>
          <w:rFonts w:ascii="宋体" w:hAnsi="宋体"/>
          <w:color w:val="000000"/>
          <w:sz w:val="24"/>
        </w:rPr>
      </w:pPr>
      <w:r>
        <w:rPr>
          <w:rFonts w:hint="eastAsia" w:ascii="宋体" w:hAnsi="宋体"/>
          <w:color w:val="000000"/>
          <w:sz w:val="24"/>
        </w:rPr>
        <w:t>其次通过阅读大量文献和查找资料的方法，分析了我国海绵城市的研究现状和建设现状如</w:t>
      </w:r>
      <w:r>
        <w:rPr>
          <w:rFonts w:hint="eastAsia"/>
          <w:color w:val="000000"/>
          <w:sz w:val="24"/>
        </w:rPr>
        <w:t>在道路设计时应采用新型透水材料有助于将地表的热量散发和下凹式绿地、植被滞留带可以在收集雨水、吸收较大颗粒的同时保留所需的雨水等</w:t>
      </w:r>
      <w:r>
        <w:rPr>
          <w:rFonts w:hint="eastAsia" w:ascii="宋体" w:hAnsi="宋体"/>
          <w:color w:val="000000"/>
          <w:sz w:val="24"/>
        </w:rPr>
        <w:t>，得到了我国海绵城市包括基础理论不发达、环境问题突出等目前存在的缺点。另一方面，我国要重视国外的先进理念让其与本国国情联系起来，</w:t>
      </w:r>
      <w:r>
        <w:rPr>
          <w:rFonts w:hint="eastAsia" w:ascii="宋体" w:hAnsi="宋体"/>
          <w:color w:val="000000"/>
          <w:sz w:val="24"/>
          <w:lang w:val="zh-CN"/>
        </w:rPr>
        <w:t>考虑城市间的地理环境和社会环境的差异,在宏观上形成统一协调的发展方向。</w:t>
      </w:r>
    </w:p>
    <w:p>
      <w:pPr>
        <w:pStyle w:val="24"/>
        <w:numPr>
          <w:ilvl w:val="0"/>
          <w:numId w:val="1"/>
        </w:numPr>
        <w:spacing w:beforeLines="50" w:afterLines="50" w:line="360" w:lineRule="auto"/>
        <w:ind w:left="448" w:hanging="448" w:firstLineChars="0"/>
        <w:rPr>
          <w:rFonts w:ascii="黑体" w:hAnsi="宋体" w:eastAsia="黑体"/>
          <w:b/>
          <w:bCs/>
          <w:sz w:val="30"/>
        </w:rPr>
      </w:pPr>
      <w:r>
        <w:rPr>
          <w:rFonts w:hint="eastAsia" w:ascii="黑体" w:hAnsi="宋体" w:eastAsia="黑体"/>
          <w:b/>
          <w:bCs/>
          <w:sz w:val="30"/>
        </w:rPr>
        <w:t>海绵城市评价</w:t>
      </w:r>
    </w:p>
    <w:p>
      <w:pPr>
        <w:spacing w:line="360" w:lineRule="auto"/>
        <w:ind w:firstLine="480" w:firstLineChars="200"/>
        <w:rPr>
          <w:rFonts w:ascii="宋体" w:hAnsi="宋体"/>
          <w:sz w:val="24"/>
        </w:rPr>
      </w:pPr>
      <w:r>
        <w:rPr>
          <w:rFonts w:hint="eastAsia" w:ascii="宋体" w:hAnsi="宋体"/>
          <w:sz w:val="24"/>
        </w:rPr>
        <w:t>我国海绵城市建设处于初步阶段，建设水平较低。海绵城市评价体系对引导海绵城市建设具有重大意义。作为海绵城市工程最重要的一个环节，规范海绵城市建设的影响评价、完善海绵城市建设的体系是在建立海绵城市评价体系的基础上。只有制定相关规定，有了可以评价的指标，海绵城市工程建设才会越来越规范。我国地域广阔，省会城市众多且每个地区的特点和海绵城市建设的任务都不一样。同样的指标在不同的地区都是重要的，建立评价体系要将区域特色联系起来。各个国家对海绵城市的评价各不相同，主要代表为美国的雨水管理评价标准（LEED-ND/SITES/LPS）</w:t>
      </w:r>
      <w:r>
        <w:rPr>
          <w:rFonts w:hint="eastAsia" w:ascii="宋体" w:hAnsi="宋体"/>
          <w:sz w:val="24"/>
          <w:vertAlign w:val="superscript"/>
        </w:rPr>
        <w:t>[16]</w:t>
      </w:r>
      <w:r>
        <w:rPr>
          <w:rFonts w:hint="eastAsia" w:ascii="宋体" w:hAnsi="宋体"/>
          <w:sz w:val="24"/>
        </w:rPr>
        <w:t>和澳大利亚的</w:t>
      </w:r>
      <w:r>
        <w:rPr>
          <w:rFonts w:ascii="宋体" w:hAnsi="宋体"/>
          <w:sz w:val="24"/>
        </w:rPr>
        <w:t>水敏感城市指标</w:t>
      </w:r>
      <w:r>
        <w:rPr>
          <w:rFonts w:hint="eastAsia" w:ascii="宋体" w:hAnsi="宋体"/>
          <w:sz w:val="24"/>
          <w:vertAlign w:val="superscript"/>
        </w:rPr>
        <w:t>[17]</w:t>
      </w:r>
      <w:r>
        <w:rPr>
          <w:rFonts w:hint="eastAsia" w:ascii="宋体" w:hAnsi="宋体"/>
          <w:sz w:val="24"/>
        </w:rPr>
        <w:t>；根据方法分类，可分为容积法、模型法和综合评价法</w:t>
      </w:r>
      <w:r>
        <w:rPr>
          <w:rFonts w:hint="eastAsia" w:ascii="宋体" w:hAnsi="宋体"/>
          <w:sz w:val="24"/>
          <w:vertAlign w:val="superscript"/>
        </w:rPr>
        <w:t>[18]</w:t>
      </w:r>
      <w:r>
        <w:rPr>
          <w:rFonts w:hint="eastAsia" w:ascii="宋体" w:hAnsi="宋体"/>
          <w:sz w:val="24"/>
        </w:rPr>
        <w:t>。</w:t>
      </w:r>
      <w:r>
        <w:rPr>
          <w:rFonts w:ascii="宋体" w:hAnsi="宋体"/>
          <w:sz w:val="24"/>
        </w:rPr>
        <w:t xml:space="preserve"> </w:t>
      </w:r>
    </w:p>
    <w:p>
      <w:pPr>
        <w:pStyle w:val="24"/>
        <w:numPr>
          <w:ilvl w:val="1"/>
          <w:numId w:val="1"/>
        </w:numPr>
        <w:spacing w:line="360" w:lineRule="auto"/>
        <w:ind w:firstLineChars="0"/>
        <w:rPr>
          <w:rFonts w:ascii="黑体" w:hAnsi="宋体" w:eastAsia="黑体"/>
          <w:b/>
          <w:bCs/>
          <w:sz w:val="28"/>
          <w:szCs w:val="28"/>
        </w:rPr>
      </w:pPr>
      <w:r>
        <w:rPr>
          <w:rFonts w:hint="eastAsia" w:ascii="黑体" w:hAnsi="宋体" w:eastAsia="黑体"/>
          <w:b/>
          <w:bCs/>
          <w:sz w:val="28"/>
          <w:szCs w:val="28"/>
        </w:rPr>
        <w:t>典型低影响开发的评价方法</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美国的雨水管理评价标准（LEED-ND/SITES/LPS）</w:t>
      </w:r>
    </w:p>
    <w:p>
      <w:pPr>
        <w:pStyle w:val="24"/>
        <w:spacing w:line="360" w:lineRule="auto"/>
        <w:ind w:firstLine="480"/>
        <w:rPr>
          <w:rFonts w:ascii="宋体" w:hAnsi="宋体"/>
          <w:sz w:val="24"/>
        </w:rPr>
      </w:pPr>
      <w:r>
        <w:rPr>
          <w:rFonts w:ascii="宋体" w:hAnsi="宋体"/>
          <w:sz w:val="24"/>
        </w:rPr>
        <w:t>为了更科学地支持、指导和评价设计，减少设计决定的不确定性，以美国为代表的学者及规划设计师逐步采用一些基准来建立对规划设计项目的绩效预期。</w:t>
      </w:r>
      <w:r>
        <w:rPr>
          <w:rFonts w:hint="eastAsia" w:ascii="宋体" w:hAnsi="宋体"/>
          <w:sz w:val="24"/>
        </w:rPr>
        <w:t>1999年，美国绿色建筑协会自发建立了以性能为基础的绿色评级体系。换句话说，2006年能源与环境的先锋认证（简称LEED），可持续发展场所的建议（简称SITES）是在LEED的背景下创立的，为景观设计、施工和维护实践提供了指导。2009年美国绿色建筑理事会、自然资源保护理事会和</w:t>
      </w:r>
      <w:r>
        <w:rPr>
          <w:rFonts w:ascii="宋体" w:hAnsi="宋体"/>
          <w:sz w:val="24"/>
        </w:rPr>
        <w:t>新城主义委员会</w:t>
      </w:r>
      <w:r>
        <w:rPr>
          <w:rFonts w:hint="eastAsia" w:ascii="宋体" w:hAnsi="宋体"/>
          <w:sz w:val="24"/>
        </w:rPr>
        <w:t>颁发的LEED社区发展证书，是对建筑周边景观环境进行评价的生态友好型建筑评级。2010年，美国景观与林业基金（简称LAF）提出了景观绩效概念，提出景观绩效系列战略研究（简称LPS）。指的是“有助于可持续发展的景观预测目标和测量指标”，提出通过 “案例研究”（简称CSI）来量化已建项目的景观表现。重点是对建设项目的运行状况进行量化评估，主要内容是对施工项目的运行状况进行定量评估，以确定所使用的设计方法和战略是否与原始设计相一致，是否有助于项目的可持续发展。LEED-ND评价体系有五个方向：智能场所和社区的联系、社区建立设计的形式、绿色基础设施和环境建筑物、创新设计方法、地方发展权。</w:t>
      </w:r>
    </w:p>
    <w:p>
      <w:pPr>
        <w:pStyle w:val="24"/>
        <w:spacing w:line="360" w:lineRule="auto"/>
        <w:ind w:firstLine="480"/>
      </w:pPr>
      <w:r>
        <w:rPr>
          <w:rFonts w:hint="eastAsia" w:ascii="宋体" w:hAnsi="宋体"/>
          <w:sz w:val="24"/>
        </w:rPr>
        <w:t>LEED-ND和SITES因为相对重视景观的评估所以其具有预测前景的性质，而LPS则是对项目完成后的性能进行量化因为它是一个</w:t>
      </w:r>
      <w:r>
        <w:rPr>
          <w:rFonts w:ascii="宋体" w:hAnsi="宋体"/>
          <w:sz w:val="24"/>
        </w:rPr>
        <w:t>回溯评估体系</w:t>
      </w:r>
      <w:r>
        <w:rPr>
          <w:rFonts w:hint="eastAsia" w:ascii="宋体" w:hAnsi="宋体"/>
          <w:sz w:val="24"/>
        </w:rPr>
        <w:t>。</w:t>
      </w:r>
      <w:r>
        <w:rPr>
          <w:rFonts w:ascii="宋体" w:hAnsi="宋体"/>
          <w:sz w:val="24"/>
        </w:rPr>
        <w:t>尽管三者</w:t>
      </w:r>
      <w:r>
        <w:rPr>
          <w:rFonts w:hint="eastAsia" w:ascii="宋体" w:hAnsi="宋体"/>
          <w:sz w:val="24"/>
        </w:rPr>
        <w:t>在概念、目标、重点等方面各有不同</w:t>
      </w:r>
      <w:r>
        <w:rPr>
          <w:rFonts w:ascii="宋体" w:hAnsi="宋体"/>
          <w:sz w:val="24"/>
        </w:rPr>
        <w:t>，但</w:t>
      </w:r>
      <w:r>
        <w:rPr>
          <w:rFonts w:hint="eastAsia" w:ascii="宋体" w:hAnsi="宋体"/>
          <w:sz w:val="24"/>
        </w:rPr>
        <w:t>是</w:t>
      </w:r>
      <w:r>
        <w:rPr>
          <w:rFonts w:ascii="宋体" w:hAnsi="宋体"/>
          <w:sz w:val="24"/>
        </w:rPr>
        <w:t>雨水管理都被作为非常重要的</w:t>
      </w:r>
      <w:r>
        <w:rPr>
          <w:rFonts w:hint="eastAsia" w:ascii="宋体" w:hAnsi="宋体"/>
          <w:sz w:val="24"/>
        </w:rPr>
        <w:t>一个指标</w:t>
      </w:r>
      <w:r>
        <w:rPr>
          <w:rFonts w:ascii="宋体" w:hAnsi="宋体"/>
          <w:sz w:val="24"/>
        </w:rPr>
        <w:t>纳入其中(</w:t>
      </w:r>
      <w:r>
        <w:rPr>
          <w:rFonts w:hint="eastAsia" w:ascii="宋体" w:hAnsi="宋体"/>
          <w:sz w:val="24"/>
        </w:rPr>
        <w:t>表2.</w:t>
      </w:r>
      <w:r>
        <w:rPr>
          <w:rFonts w:ascii="宋体" w:hAnsi="宋体"/>
          <w:sz w:val="24"/>
        </w:rPr>
        <w:t>1)</w:t>
      </w:r>
      <w:r>
        <w:rPr>
          <w:rFonts w:hint="eastAsia" w:ascii="宋体" w:hAnsi="宋体"/>
          <w:sz w:val="24"/>
        </w:rPr>
        <w:t>。</w:t>
      </w:r>
    </w:p>
    <w:p>
      <w:pPr>
        <w:spacing w:line="360" w:lineRule="auto"/>
        <w:jc w:val="center"/>
      </w:pPr>
      <w:r>
        <w:rPr>
          <w:rFonts w:hint="eastAsia"/>
        </w:rPr>
        <w:t>表2.1  LEED-ND、SITES、LPS 中关于雨水管理的评价指标</w:t>
      </w:r>
    </w:p>
    <w:tbl>
      <w:tblPr>
        <w:tblStyle w:val="26"/>
        <w:tblW w:w="8593"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9"/>
        <w:gridCol w:w="879"/>
        <w:gridCol w:w="881"/>
        <w:gridCol w:w="731"/>
        <w:gridCol w:w="524"/>
        <w:gridCol w:w="1131"/>
        <w:gridCol w:w="2689"/>
        <w:gridCol w:w="879"/>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2" w:hRule="atLeast"/>
          <w:tblHeader/>
          <w:jc w:val="center"/>
        </w:trPr>
        <w:tc>
          <w:tcPr>
            <w:tcW w:w="879" w:type="dxa"/>
            <w:tcBorders>
              <w:top w:val="single" w:color="auto" w:sz="18" w:space="0"/>
              <w:left w:val="nil"/>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评价标准</w:t>
            </w:r>
          </w:p>
        </w:tc>
        <w:tc>
          <w:tcPr>
            <w:tcW w:w="87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时间</w:t>
            </w:r>
          </w:p>
        </w:tc>
        <w:tc>
          <w:tcPr>
            <w:tcW w:w="881"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发布机构</w:t>
            </w:r>
          </w:p>
        </w:tc>
        <w:tc>
          <w:tcPr>
            <w:tcW w:w="731"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评价对象</w:t>
            </w:r>
          </w:p>
        </w:tc>
        <w:tc>
          <w:tcPr>
            <w:tcW w:w="1655" w:type="dxa"/>
            <w:gridSpan w:val="2"/>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一级指标</w:t>
            </w:r>
          </w:p>
        </w:tc>
        <w:tc>
          <w:tcPr>
            <w:tcW w:w="268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二级指标</w:t>
            </w:r>
          </w:p>
        </w:tc>
        <w:tc>
          <w:tcPr>
            <w:tcW w:w="87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指标类型</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restart"/>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LEED-ND V4</w:t>
            </w:r>
          </w:p>
        </w:tc>
        <w:tc>
          <w:tcPr>
            <w:tcW w:w="879" w:type="dxa"/>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2009年发布第1版，2018年7月更新第4版</w:t>
            </w:r>
          </w:p>
        </w:tc>
        <w:tc>
          <w:tcPr>
            <w:tcW w:w="881" w:type="dxa"/>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美国绿色建筑委员会、 美国新城市主义联合会和自然资源保护委员会</w:t>
            </w:r>
          </w:p>
        </w:tc>
        <w:tc>
          <w:tcPr>
            <w:tcW w:w="731" w:type="dxa"/>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绿色社区发展规划和社区建设</w:t>
            </w:r>
          </w:p>
        </w:tc>
        <w:tc>
          <w:tcPr>
            <w:tcW w:w="1655" w:type="dxa"/>
            <w:gridSpan w:val="2"/>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精明选址及相关</w:t>
            </w:r>
          </w:p>
        </w:tc>
        <w:tc>
          <w:tcPr>
            <w:tcW w:w="268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保护湿地和水体</w:t>
            </w:r>
          </w:p>
        </w:tc>
        <w:tc>
          <w:tcPr>
            <w:tcW w:w="87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避开洪泛区域</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保护生境、湿地和其他水体</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恢复生境、湿地和其他水体</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19"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生境、湿地和其他水体的长期维护管理</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绿色基础设施和建筑</w:t>
            </w:r>
          </w:p>
        </w:tc>
        <w:tc>
          <w:tcPr>
            <w:tcW w:w="268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减少户外用水</w:t>
            </w:r>
          </w:p>
        </w:tc>
        <w:tc>
          <w:tcPr>
            <w:tcW w:w="87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最小化的场地干扰</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雨水管理</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6" w:hRule="atLeast"/>
          <w:jc w:val="center"/>
        </w:trPr>
        <w:tc>
          <w:tcPr>
            <w:tcW w:w="879" w:type="dxa"/>
            <w:vMerge w:val="continue"/>
            <w:tcBorders>
              <w:bottom w:val="single" w:color="auto" w:sz="4" w:space="0"/>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缓解热岛效应</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restart"/>
            <w:tcBorders>
              <w:top w:val="single" w:color="auto" w:sz="4" w:space="0"/>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SITES V2</w:t>
            </w:r>
          </w:p>
        </w:tc>
        <w:tc>
          <w:tcPr>
            <w:tcW w:w="879"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2009 年发布第1版，2014年发布第2版</w:t>
            </w:r>
          </w:p>
        </w:tc>
        <w:tc>
          <w:tcPr>
            <w:tcW w:w="88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约翰逊总统夫人野生花卉中心、美国国家植物园和美国风景园林师协会</w:t>
            </w:r>
          </w:p>
        </w:tc>
        <w:tc>
          <w:tcPr>
            <w:tcW w:w="73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可持续场地设计</w:t>
            </w:r>
          </w:p>
        </w:tc>
        <w:tc>
          <w:tcPr>
            <w:tcW w:w="1655" w:type="dxa"/>
            <w:gridSpan w:val="2"/>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场地条件</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保护洪泛区的功能</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保护水生生态系统</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场地设计-水资源</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在场地内就地处理降水</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减少景观灌溉用水</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必要项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管理超出基线的降水</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减少户外景观用水</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雨水管理设施的景观性</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恢复水生生态系统</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65"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场地设计-土壤与植被</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缓解城市热岛效应</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92" w:hRule="atLeast"/>
          <w:jc w:val="center"/>
        </w:trPr>
        <w:tc>
          <w:tcPr>
            <w:tcW w:w="879" w:type="dxa"/>
            <w:vMerge w:val="continue"/>
            <w:tcBorders>
              <w:bottom w:val="single" w:color="auto" w:sz="4" w:space="0"/>
            </w:tcBorders>
            <w:shd w:val="clear" w:color="auto" w:fill="auto"/>
            <w:vAlign w:val="center"/>
          </w:tcPr>
          <w:p>
            <w:pPr>
              <w:widowControl/>
              <w:jc w:val="center"/>
              <w:rPr>
                <w:rFonts w:ascii="宋体" w:hAnsi="宋体" w:cs="宋体" w:eastAsiaTheme="minorEastAsia"/>
                <w:b/>
                <w:bCs w:val="0"/>
                <w:color w:val="000000"/>
                <w:kern w:val="0"/>
                <w:szCs w:val="21"/>
              </w:rPr>
            </w:pPr>
          </w:p>
        </w:tc>
        <w:tc>
          <w:tcPr>
            <w:tcW w:w="879"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1655" w:type="dxa"/>
            <w:gridSpan w:val="2"/>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公共教育与检测</w:t>
            </w: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提升公众对可持续景观的理解与认知</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得分项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5" w:hRule="atLeast"/>
          <w:jc w:val="center"/>
        </w:trPr>
        <w:tc>
          <w:tcPr>
            <w:tcW w:w="879" w:type="dxa"/>
            <w:vMerge w:val="restart"/>
            <w:tcBorders>
              <w:top w:val="single" w:color="auto" w:sz="4" w:space="0"/>
              <w:left w:val="nil"/>
              <w:right w:val="nil"/>
            </w:tcBorders>
            <w:shd w:val="clear" w:color="auto" w:fill="auto"/>
            <w:vAlign w:val="center"/>
          </w:tcPr>
          <w:p>
            <w:pPr>
              <w:widowControl/>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LPS</w:t>
            </w:r>
          </w:p>
          <w:p>
            <w:pPr>
              <w:widowControl/>
              <w:jc w:val="center"/>
              <w:rPr>
                <w:rFonts w:ascii="宋体" w:hAnsi="宋体" w:cs="宋体" w:eastAsiaTheme="minorEastAsia"/>
                <w:b/>
                <w:bCs/>
                <w:color w:val="000000"/>
                <w:kern w:val="0"/>
                <w:szCs w:val="21"/>
              </w:rPr>
            </w:pPr>
          </w:p>
        </w:tc>
        <w:tc>
          <w:tcPr>
            <w:tcW w:w="879" w:type="dxa"/>
            <w:vMerge w:val="restart"/>
            <w:tcBorders>
              <w:top w:val="single" w:color="auto" w:sz="4" w:space="0"/>
              <w:left w:val="nil"/>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2010 年开始展开案例调研</w:t>
            </w:r>
          </w:p>
          <w:p>
            <w:pPr>
              <w:widowControl/>
              <w:jc w:val="center"/>
              <w:rPr>
                <w:rFonts w:ascii="宋体" w:hAnsi="宋体" w:cs="宋体" w:eastAsiaTheme="minorEastAsia"/>
                <w:color w:val="000000"/>
                <w:kern w:val="0"/>
                <w:szCs w:val="21"/>
              </w:rPr>
            </w:pPr>
          </w:p>
        </w:tc>
        <w:tc>
          <w:tcPr>
            <w:tcW w:w="881" w:type="dxa"/>
            <w:vMerge w:val="restart"/>
            <w:tcBorders>
              <w:top w:val="single" w:color="auto" w:sz="4" w:space="0"/>
              <w:left w:val="nil"/>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美国风景园林基金会（LAF）</w:t>
            </w:r>
          </w:p>
        </w:tc>
        <w:tc>
          <w:tcPr>
            <w:tcW w:w="731" w:type="dxa"/>
            <w:vMerge w:val="restart"/>
            <w:tcBorders>
              <w:top w:val="single" w:color="auto" w:sz="4" w:space="0"/>
              <w:bottom w:val="nil"/>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景观设计</w:t>
            </w:r>
          </w:p>
        </w:tc>
        <w:tc>
          <w:tcPr>
            <w:tcW w:w="524" w:type="dxa"/>
            <w:vMerge w:val="restart"/>
            <w:tcBorders>
              <w:top w:val="single" w:color="auto" w:sz="4" w:space="0"/>
              <w:bottom w:val="nil"/>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环境</w:t>
            </w:r>
          </w:p>
        </w:tc>
        <w:tc>
          <w:tcPr>
            <w:tcW w:w="113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生境保护 / 创建 /恢复</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保护未受干扰区域</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78"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 / 恢复生境、湿地和水体</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131" w:type="dxa"/>
            <w:vMerge w:val="restart"/>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雨水管理</w:t>
            </w:r>
          </w:p>
        </w:tc>
        <w:tc>
          <w:tcPr>
            <w:tcW w:w="2689" w:type="dxa"/>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控制径流总量</w:t>
            </w:r>
          </w:p>
        </w:tc>
        <w:tc>
          <w:tcPr>
            <w:tcW w:w="879" w:type="dxa"/>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控制径流峰值</w:t>
            </w:r>
          </w:p>
        </w:tc>
        <w:tc>
          <w:tcPr>
            <w:tcW w:w="879" w:type="dxa"/>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shd w:val="clear" w:color="auto" w:fill="auto"/>
            <w:vAlign w:val="center"/>
          </w:tcPr>
          <w:p>
            <w:pPr>
              <w:widowControl/>
              <w:jc w:val="center"/>
              <w:rPr>
                <w:rFonts w:ascii="宋体" w:hAnsi="宋体" w:cs="宋体" w:eastAsiaTheme="minorEastAsia"/>
                <w:color w:val="000000"/>
                <w:kern w:val="0"/>
                <w:szCs w:val="21"/>
              </w:rPr>
            </w:pPr>
          </w:p>
        </w:tc>
        <w:tc>
          <w:tcPr>
            <w:tcW w:w="1131" w:type="dxa"/>
            <w:vMerge w:val="restart"/>
            <w:tcBorders>
              <w:top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节水</w:t>
            </w: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减少景观灌溉用水</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35"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雨水 / 中水的资源化利用</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top w:val="nil"/>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top w:val="nil"/>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tcBorders>
              <w:top w:val="nil"/>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水质</w:t>
            </w:r>
          </w:p>
        </w:tc>
        <w:tc>
          <w:tcPr>
            <w:tcW w:w="2689" w:type="dxa"/>
            <w:tcBorders>
              <w:top w:val="nil"/>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改善水质</w:t>
            </w:r>
          </w:p>
        </w:tc>
        <w:tc>
          <w:tcPr>
            <w:tcW w:w="879" w:type="dxa"/>
            <w:tcBorders>
              <w:top w:val="nil"/>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95"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防洪</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恢复自然河道</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17"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731"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保护洪泛区域</w:t>
            </w:r>
          </w:p>
        </w:tc>
        <w:tc>
          <w:tcPr>
            <w:tcW w:w="87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top w:val="nil"/>
              <w:bottom w:val="nil"/>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地下水补给</w:t>
            </w:r>
          </w:p>
        </w:tc>
        <w:tc>
          <w:tcPr>
            <w:tcW w:w="268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地下水补给</w:t>
            </w:r>
          </w:p>
        </w:tc>
        <w:tc>
          <w:tcPr>
            <w:tcW w:w="879" w:type="dxa"/>
            <w:tcBorders>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nil"/>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top w:val="nil"/>
              <w:bottom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热度与热岛效应</w:t>
            </w: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降低屋顶温度，缓解热岛效应</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left w:val="nil"/>
              <w:bottom w:val="single" w:color="auto" w:sz="4"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nil"/>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社会</w:t>
            </w:r>
          </w:p>
        </w:tc>
        <w:tc>
          <w:tcPr>
            <w:tcW w:w="113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教育价值</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提供关于雨水管理的教育机会</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bottom w:val="single" w:color="auto" w:sz="18" w:space="0"/>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bottom w:val="single" w:color="auto" w:sz="18"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top w:val="single" w:color="auto" w:sz="4" w:space="0"/>
              <w:left w:val="nil"/>
              <w:bottom w:val="single" w:color="auto" w:sz="18"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提升环保 / 可持续意识</w:t>
            </w:r>
          </w:p>
        </w:tc>
        <w:tc>
          <w:tcPr>
            <w:tcW w:w="879" w:type="dxa"/>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bl>
    <w:p>
      <w:pPr>
        <w:spacing w:line="360" w:lineRule="auto"/>
        <w:ind w:firstLine="420" w:firstLineChars="200"/>
        <w:jc w:val="center"/>
        <w:rPr>
          <w:rFonts w:ascii="宋体" w:hAnsi="宋体"/>
          <w:sz w:val="24"/>
        </w:rPr>
      </w:pPr>
      <w:r>
        <w:rPr>
          <w:rFonts w:hint="eastAsia"/>
        </w:rPr>
        <w:t>续表2.1  LEED-ND、SITES、LPS 中关于雨水管理的评价指标</w:t>
      </w:r>
    </w:p>
    <w:tbl>
      <w:tblPr>
        <w:tblStyle w:val="26"/>
        <w:tblW w:w="8593"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9"/>
        <w:gridCol w:w="879"/>
        <w:gridCol w:w="881"/>
        <w:gridCol w:w="731"/>
        <w:gridCol w:w="524"/>
        <w:gridCol w:w="1131"/>
        <w:gridCol w:w="2689"/>
        <w:gridCol w:w="879"/>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2" w:hRule="atLeast"/>
          <w:tblHeader/>
          <w:jc w:val="center"/>
        </w:trPr>
        <w:tc>
          <w:tcPr>
            <w:tcW w:w="879" w:type="dxa"/>
            <w:tcBorders>
              <w:top w:val="single" w:color="auto" w:sz="18" w:space="0"/>
              <w:left w:val="nil"/>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评价标准</w:t>
            </w:r>
          </w:p>
        </w:tc>
        <w:tc>
          <w:tcPr>
            <w:tcW w:w="87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时间</w:t>
            </w:r>
          </w:p>
        </w:tc>
        <w:tc>
          <w:tcPr>
            <w:tcW w:w="881"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发布机构</w:t>
            </w:r>
          </w:p>
        </w:tc>
        <w:tc>
          <w:tcPr>
            <w:tcW w:w="731"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评价对象</w:t>
            </w:r>
          </w:p>
        </w:tc>
        <w:tc>
          <w:tcPr>
            <w:tcW w:w="1655" w:type="dxa"/>
            <w:gridSpan w:val="2"/>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一级指标</w:t>
            </w:r>
          </w:p>
        </w:tc>
        <w:tc>
          <w:tcPr>
            <w:tcW w:w="268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二级指标</w:t>
            </w:r>
          </w:p>
        </w:tc>
        <w:tc>
          <w:tcPr>
            <w:tcW w:w="879" w:type="dxa"/>
            <w:tcBorders>
              <w:top w:val="single" w:color="auto" w:sz="18" w:space="0"/>
              <w:bottom w:val="single" w:color="000000" w:themeColor="text1" w:sz="8" w:space="0"/>
              <w:right w:val="nil"/>
              <w:insideH w:val="single" w:sz="8" w:space="0"/>
              <w:insideV w:val="nil"/>
            </w:tcBorders>
            <w:shd w:val="clear" w:color="auto" w:fill="auto"/>
            <w:vAlign w:val="center"/>
          </w:tcPr>
          <w:p>
            <w:pPr>
              <w:widowControl/>
              <w:spacing w:before="0" w:after="0" w:line="240" w:lineRule="auto"/>
              <w:jc w:val="center"/>
              <w:rPr>
                <w:rFonts w:ascii="宋体" w:hAnsi="宋体" w:cs="宋体" w:eastAsiaTheme="minorEastAsia"/>
                <w:b/>
                <w:bCs w:val="0"/>
                <w:color w:val="000000"/>
                <w:kern w:val="0"/>
                <w:szCs w:val="21"/>
              </w:rPr>
            </w:pPr>
            <w:r>
              <w:rPr>
                <w:rFonts w:hint="eastAsia" w:ascii="宋体" w:hAnsi="宋体" w:cs="宋体" w:eastAsiaTheme="minorEastAsia"/>
                <w:b w:val="0"/>
                <w:bCs/>
                <w:color w:val="000000"/>
                <w:kern w:val="0"/>
                <w:szCs w:val="21"/>
              </w:rPr>
              <w:t>指标类型</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restart"/>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restart"/>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restart"/>
            <w:tcBorders>
              <w:top w:val="single" w:color="auto" w:sz="4" w:space="0"/>
              <w:left w:val="nil"/>
              <w:bottom w:val="single" w:color="auto" w:sz="4"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restart"/>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restart"/>
            <w:tcBorders>
              <w:right w:val="nil"/>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风景质量</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提高视觉景观质量</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top w:val="single" w:color="auto" w:sz="4" w:space="0"/>
              <w:left w:val="nil"/>
              <w:bottom w:val="single" w:color="auto" w:sz="4"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改变审美倾向</w:t>
            </w:r>
          </w:p>
        </w:tc>
        <w:tc>
          <w:tcPr>
            <w:tcW w:w="879" w:type="dxa"/>
            <w:tcBorders>
              <w:top w:val="single" w:color="auto" w:sz="4" w:space="0"/>
              <w:bottom w:val="single" w:color="auto" w:sz="4"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top w:val="single" w:color="auto" w:sz="4" w:space="0"/>
              <w:left w:val="nil"/>
              <w:bottom w:val="single" w:color="auto" w:sz="4"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restart"/>
            <w:tcBorders>
              <w:top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经济</w:t>
            </w:r>
          </w:p>
        </w:tc>
        <w:tc>
          <w:tcPr>
            <w:tcW w:w="1131" w:type="dxa"/>
            <w:vMerge w:val="restart"/>
            <w:tcBorders>
              <w:right w:val="nil"/>
            </w:tcBorders>
            <w:shd w:val="clear" w:color="auto" w:fill="auto"/>
            <w:vAlign w:val="center"/>
          </w:tcPr>
          <w:p>
            <w:pPr>
              <w:widowControl/>
              <w:jc w:val="left"/>
              <w:rPr>
                <w:rFonts w:ascii="宋体" w:hAnsi="宋体" w:cs="宋体" w:eastAsiaTheme="minorEastAsia"/>
                <w:color w:val="000000"/>
                <w:kern w:val="0"/>
                <w:szCs w:val="21"/>
              </w:rPr>
            </w:pPr>
            <w:r>
              <w:rPr>
                <w:rFonts w:hint="eastAsia" w:ascii="宋体" w:hAnsi="宋体" w:cs="宋体" w:eastAsiaTheme="minorEastAsia"/>
                <w:color w:val="000000"/>
                <w:kern w:val="0"/>
                <w:szCs w:val="21"/>
              </w:rPr>
              <w:t>节约费用</w:t>
            </w:r>
          </w:p>
        </w:tc>
        <w:tc>
          <w:tcPr>
            <w:tcW w:w="268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节约建设成本</w:t>
            </w:r>
          </w:p>
        </w:tc>
        <w:tc>
          <w:tcPr>
            <w:tcW w:w="879" w:type="dxa"/>
            <w:tcBorders>
              <w:top w:val="single" w:color="auto" w:sz="4" w:space="0"/>
              <w:bottom w:val="single" w:color="auto" w:sz="4" w:space="0"/>
              <w:right w:val="nil"/>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jc w:val="center"/>
        </w:trPr>
        <w:tc>
          <w:tcPr>
            <w:tcW w:w="879" w:type="dxa"/>
            <w:vMerge w:val="continue"/>
            <w:tcBorders>
              <w:left w:val="nil"/>
              <w:bottom w:val="single" w:color="auto" w:sz="18" w:space="0"/>
              <w:right w:val="nil"/>
            </w:tcBorders>
            <w:shd w:val="clear" w:color="auto" w:fill="auto"/>
            <w:vAlign w:val="center"/>
          </w:tcPr>
          <w:p>
            <w:pPr>
              <w:widowControl/>
              <w:jc w:val="center"/>
              <w:rPr>
                <w:rFonts w:ascii="宋体" w:hAnsi="宋体" w:cs="宋体" w:eastAsiaTheme="minorEastAsia"/>
                <w:b w:val="0"/>
                <w:bCs w:val="0"/>
                <w:color w:val="000000"/>
                <w:kern w:val="0"/>
                <w:szCs w:val="21"/>
              </w:rPr>
            </w:pPr>
          </w:p>
        </w:tc>
        <w:tc>
          <w:tcPr>
            <w:tcW w:w="879" w:type="dxa"/>
            <w:vMerge w:val="continue"/>
            <w:tcBorders>
              <w:left w:val="nil"/>
              <w:bottom w:val="single" w:color="auto" w:sz="18"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881" w:type="dxa"/>
            <w:vMerge w:val="continue"/>
            <w:tcBorders>
              <w:top w:val="single" w:color="auto" w:sz="4" w:space="0"/>
              <w:left w:val="nil"/>
              <w:bottom w:val="single" w:color="auto" w:sz="18" w:space="0"/>
              <w:right w:val="nil"/>
            </w:tcBorders>
            <w:shd w:val="clear" w:color="auto" w:fill="auto"/>
            <w:vAlign w:val="center"/>
          </w:tcPr>
          <w:p>
            <w:pPr>
              <w:widowControl/>
              <w:jc w:val="center"/>
              <w:rPr>
                <w:rFonts w:ascii="宋体" w:hAnsi="宋体" w:cs="宋体" w:eastAsiaTheme="minorEastAsia"/>
                <w:b/>
                <w:bCs/>
                <w:color w:val="000000"/>
                <w:kern w:val="0"/>
                <w:szCs w:val="21"/>
              </w:rPr>
            </w:pPr>
          </w:p>
        </w:tc>
        <w:tc>
          <w:tcPr>
            <w:tcW w:w="731" w:type="dxa"/>
            <w:vMerge w:val="continue"/>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524" w:type="dxa"/>
            <w:vMerge w:val="continue"/>
            <w:tcBorders>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1131" w:type="dxa"/>
            <w:vMerge w:val="continue"/>
            <w:tcBorders>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p>
        </w:tc>
        <w:tc>
          <w:tcPr>
            <w:tcW w:w="2689" w:type="dxa"/>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节约运行和维护费用</w:t>
            </w:r>
          </w:p>
        </w:tc>
        <w:tc>
          <w:tcPr>
            <w:tcW w:w="879" w:type="dxa"/>
            <w:tcBorders>
              <w:top w:val="single" w:color="auto" w:sz="4" w:space="0"/>
              <w:bottom w:val="single" w:color="auto" w:sz="18" w:space="0"/>
            </w:tcBorders>
            <w:shd w:val="clear" w:color="auto" w:fill="auto"/>
            <w:vAlign w:val="center"/>
          </w:tcPr>
          <w:p>
            <w:pPr>
              <w:widowControl/>
              <w:jc w:val="center"/>
              <w:rPr>
                <w:rFonts w:ascii="宋体" w:hAnsi="宋体" w:cs="宋体" w:eastAsiaTheme="minorEastAsia"/>
                <w:color w:val="000000"/>
                <w:kern w:val="0"/>
                <w:szCs w:val="21"/>
              </w:rPr>
            </w:pPr>
            <w:r>
              <w:rPr>
                <w:rFonts w:hint="eastAsia" w:ascii="宋体" w:hAnsi="宋体" w:cs="宋体" w:eastAsiaTheme="minorEastAsia"/>
                <w:color w:val="000000"/>
                <w:kern w:val="0"/>
                <w:szCs w:val="21"/>
              </w:rPr>
              <w:t>-</w:t>
            </w:r>
          </w:p>
        </w:tc>
      </w:tr>
    </w:tbl>
    <w:p>
      <w:pPr>
        <w:spacing w:line="360" w:lineRule="auto"/>
        <w:ind w:firstLine="420" w:firstLineChars="175"/>
        <w:jc w:val="left"/>
        <w:rPr>
          <w:rFonts w:ascii="宋体" w:hAnsi="宋体"/>
          <w:sz w:val="24"/>
        </w:rPr>
      </w:pPr>
      <w:r>
        <w:rPr>
          <w:rFonts w:hint="eastAsia" w:ascii="宋体" w:hAnsi="宋体"/>
          <w:sz w:val="24"/>
        </w:rPr>
        <w:t>LEED-ND强调建筑与基础设施、社区与区域景观的融合，其雨水管理的相关指标主要设置于“精明选址及相关”和“绿色基础设施与建筑”的一级指标之下，其在确保社区发展对自然本底的低影响，以及社区的可持续运营中起到了重要作用。</w:t>
      </w:r>
    </w:p>
    <w:p>
      <w:pPr>
        <w:spacing w:line="360" w:lineRule="auto"/>
        <w:ind w:firstLine="480" w:firstLineChars="200"/>
        <w:jc w:val="left"/>
        <w:rPr>
          <w:rFonts w:ascii="宋体" w:hAnsi="宋体"/>
          <w:sz w:val="24"/>
        </w:rPr>
      </w:pPr>
      <w:r>
        <w:rPr>
          <w:rFonts w:hint="eastAsia" w:ascii="宋体" w:hAnsi="宋体"/>
          <w:sz w:val="24"/>
        </w:rPr>
        <w:t>SITES对雨水管理的内容组织强调其在水循环中的位置与作用（主要位于“径流/渗入”阶段），其相关指标主要设置于“场地条件”和“场地设计—水资源”的一级指标之下。此外，绿色屋顶作为低影响开发的措施之一，能够降低屋面温度，缓解城市热岛效应；设计和运行良好的雨水管理设施有助于提升公众对于可持续景观的理解与认知，因此位于其他一级指标内的这2项指标也一同纳入统计。LPS关于雨水管理相关项目的整理报告展示了雨水管理设施的多重效益：减少径流量、延缓降水高峰、净化水体对环境的影响。加强环境保护领域的公共关系和教育，提高公众对环境保护的认识，改善社会影响，提高生活质量。降低基础设施建设和维护成本，促进房地产价值的提升等经济影响在该地区不断增加。；一些项目还对公众审美有所影响和改变。进一步整理后包括生境保护/创建/恢复、雨水管理、节水、水质、防洪、地下水补给、温度与城市热岛效应、教育价值、风景质量、节约费用共计 10 项指标，分布在环境、社会、经济3类绩效中。</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澳大利亚水敏感城市指标</w:t>
      </w:r>
    </w:p>
    <w:p>
      <w:pPr>
        <w:pStyle w:val="24"/>
        <w:spacing w:line="360" w:lineRule="auto"/>
        <w:ind w:firstLine="480"/>
        <w:rPr>
          <w:rFonts w:ascii="宋体" w:hAnsi="宋体"/>
          <w:sz w:val="24"/>
        </w:rPr>
      </w:pPr>
      <w:r>
        <w:rPr>
          <w:rFonts w:hint="eastAsia" w:ascii="宋体" w:hAnsi="宋体"/>
          <w:sz w:val="24"/>
        </w:rPr>
        <w:t>近年来，澳大利亚的水敏感城市已经在墨尔本市和戈德斯顿市进行了评估。主要采用了两个主要的评级指标体系，第一个是水敏感城市合作研究中心的切斯特菲尔德开发的水敏感城市综合指数，第二个是由Burge等人制定的水敏感城市评价指数。下面将主要介绍城市水敏感指标的建设过程及各项指标的具体内容。</w:t>
      </w:r>
    </w:p>
    <w:p>
      <w:pPr>
        <w:pStyle w:val="24"/>
        <w:spacing w:line="360" w:lineRule="auto"/>
        <w:ind w:firstLine="480"/>
      </w:pPr>
      <w:r>
        <w:rPr>
          <w:rFonts w:hint="eastAsia" w:ascii="宋体" w:hAnsi="宋体"/>
          <w:sz w:val="24"/>
        </w:rPr>
        <w:t>Chesterfield等人考虑到政策制定者和决策者的需求，制定了一套对水敏感的城市指标，以避免现有数据有限、数据收集和报告中的离群物等缺陷。同时，它也为当前澳大利亚水循环管理的实践提供了一个示范性的工具。一开始设计了指标系统的原始框架，将在墨尔本市下游的两个小城市进行测试。然后，根据测试结果和反馈信息，修改和删除了一些评估指标，最后形成了目前的评估指标体系。具体的展开细说，它包含7个一级指标和34个二级指标，参见表2.2。</w:t>
      </w:r>
    </w:p>
    <w:p>
      <w:pPr>
        <w:spacing w:line="360" w:lineRule="auto"/>
        <w:jc w:val="center"/>
      </w:pPr>
      <w:r>
        <w:rPr>
          <w:rFonts w:hint="eastAsia"/>
        </w:rPr>
        <w:t>表2.2  水敏感城市指标中的一级指标和二级指标</w:t>
      </w:r>
    </w:p>
    <w:tbl>
      <w:tblPr>
        <w:tblStyle w:val="26"/>
        <w:tblW w:w="6481"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09"/>
        <w:gridCol w:w="4672"/>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1809" w:type="dxa"/>
            <w:tcBorders>
              <w:top w:val="single" w:color="auto" w:sz="18" w:space="0"/>
              <w:left w:val="nil"/>
              <w:bottom w:val="single" w:color="000000" w:themeColor="text1" w:sz="8" w:space="0"/>
              <w:right w:val="nil"/>
              <w:insideH w:val="single" w:sz="8" w:space="0"/>
              <w:insideV w:val="nil"/>
            </w:tcBorders>
          </w:tcPr>
          <w:p>
            <w:pPr>
              <w:spacing w:before="0" w:after="0" w:line="240" w:lineRule="auto"/>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一级指标</w:t>
            </w:r>
          </w:p>
        </w:tc>
        <w:tc>
          <w:tcPr>
            <w:tcW w:w="4672" w:type="dxa"/>
            <w:tcBorders>
              <w:top w:val="single" w:color="auto" w:sz="18" w:space="0"/>
              <w:bottom w:val="single" w:color="000000" w:themeColor="text1" w:sz="8" w:space="0"/>
              <w:right w:val="nil"/>
              <w:insideH w:val="single" w:sz="8" w:space="0"/>
              <w:insideV w:val="nil"/>
            </w:tcBorders>
          </w:tcPr>
          <w:p>
            <w:pPr>
              <w:spacing w:before="0" w:after="0" w:line="240" w:lineRule="auto"/>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二级指标</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099" w:hRule="atLeast"/>
          <w:jc w:val="center"/>
        </w:trPr>
        <w:tc>
          <w:tcPr>
            <w:tcW w:w="1809" w:type="dxa"/>
            <w:tcBorders>
              <w:left w:val="nil"/>
              <w:right w:val="nil"/>
            </w:tcBorders>
            <w:shd w:val="clear" w:color="auto" w:fill="FFFFFF" w:themeFill="background1"/>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1. 确保良</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好的水敏</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感治理</w:t>
            </w:r>
          </w:p>
        </w:tc>
        <w:tc>
          <w:tcPr>
            <w:tcW w:w="4672" w:type="dxa"/>
            <w:tcBorders>
              <w:right w:val="nil"/>
            </w:tcBorders>
            <w:shd w:val="clear" w:color="auto" w:fill="FFFFFF" w:themeFill="background1"/>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1.1 知识、技能和组织能力</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1.2 水是城市规划设计中的关键要素</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1.3 跨部门的制度安排和流程</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1.4 公众参与、参与度和透明度</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1.5 领导力、长远愿景和承诺</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1.6 为水治理提供资源、资金及广泛的社会价值</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1.7 公平对待各种代表性观点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87" w:hRule="atLeast"/>
          <w:jc w:val="center"/>
        </w:trPr>
        <w:tc>
          <w:tcPr>
            <w:tcW w:w="1809" w:type="dxa"/>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2. 增进社</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区资本</w:t>
            </w:r>
          </w:p>
        </w:tc>
        <w:tc>
          <w:tcPr>
            <w:tcW w:w="4672" w:type="dxa"/>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2.1 水文化</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2.2 与水的关联</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2.3 共享所有权、管理和责任</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2.4 社区准备和应对极端（气候）事件</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2.5 土著人参与水计划</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14" w:hRule="atLeast"/>
          <w:jc w:val="center"/>
        </w:trPr>
        <w:tc>
          <w:tcPr>
            <w:tcW w:w="1809" w:type="dxa"/>
            <w:tcBorders>
              <w:left w:val="nil"/>
              <w:right w:val="nil"/>
            </w:tcBorders>
            <w:shd w:val="clear" w:color="auto" w:fill="FFFFFF" w:themeFill="background1"/>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3. 实现基</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本服务均等化</w:t>
            </w:r>
          </w:p>
        </w:tc>
        <w:tc>
          <w:tcPr>
            <w:tcW w:w="4672" w:type="dxa"/>
            <w:tcBorders>
              <w:right w:val="nil"/>
            </w:tcBorders>
            <w:shd w:val="clear" w:color="auto" w:fill="FFFFFF" w:themeFill="background1"/>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3.1 公平获得安全可靠的供水</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3.2 公平获得安全可靠的卫生设施</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3.3 公平获得防洪服务</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3.4 公平获得负担得起的水资产带来的舒适价值</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271" w:hRule="atLeast"/>
          <w:jc w:val="center"/>
        </w:trPr>
        <w:tc>
          <w:tcPr>
            <w:tcW w:w="1809" w:type="dxa"/>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4. 提高生</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产率和资</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源效率</w:t>
            </w:r>
          </w:p>
        </w:tc>
        <w:tc>
          <w:tcPr>
            <w:tcW w:w="4672" w:type="dxa"/>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4.1 资源回收最大化</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4.2 较低的水行业温室气体排放量</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4.3 与水有关的商机</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4.4 较低的用户端饮用水需求</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4.5 较之其他行业的优势</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91" w:hRule="atLeast"/>
          <w:jc w:val="center"/>
        </w:trPr>
        <w:tc>
          <w:tcPr>
            <w:tcW w:w="1809" w:type="dxa"/>
            <w:tcBorders>
              <w:left w:val="nil"/>
              <w:right w:val="nil"/>
            </w:tcBorders>
            <w:shd w:val="clear" w:color="auto" w:fill="FFFFFF" w:themeFill="background1"/>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5. 改善生</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态健康</w:t>
            </w:r>
          </w:p>
        </w:tc>
        <w:tc>
          <w:tcPr>
            <w:tcW w:w="4672" w:type="dxa"/>
            <w:tcBorders>
              <w:right w:val="nil"/>
            </w:tcBorders>
            <w:shd w:val="clear" w:color="auto" w:fill="FFFFFF" w:themeFill="background1"/>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5.1 健康的生物多样性栖息地</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5.2 地表水质和流量</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5.3 地下水质量和补给</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5.4 保护生态价值高的地区</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91" w:hRule="atLeast"/>
          <w:jc w:val="center"/>
        </w:trPr>
        <w:tc>
          <w:tcPr>
            <w:tcW w:w="1809" w:type="dxa"/>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6. 确保优</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质的城市空间</w:t>
            </w:r>
          </w:p>
        </w:tc>
        <w:tc>
          <w:tcPr>
            <w:tcW w:w="4672" w:type="dxa"/>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6.1 激活连接的绿色—蓝色空间</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6.2 减轻热影响的城市要素</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6.3 植被覆盖</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832" w:hRule="atLeast"/>
          <w:jc w:val="center"/>
        </w:trPr>
        <w:tc>
          <w:tcPr>
            <w:tcW w:w="1809" w:type="dxa"/>
            <w:tcBorders>
              <w:left w:val="nil"/>
              <w:bottom w:val="single" w:color="auto" w:sz="18" w:space="0"/>
              <w:right w:val="nil"/>
            </w:tcBorders>
            <w:shd w:val="clear" w:color="auto" w:fill="FFFFFF" w:themeFill="background1"/>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7. 促进适</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应性基础设施</w:t>
            </w:r>
          </w:p>
        </w:tc>
        <w:tc>
          <w:tcPr>
            <w:tcW w:w="4672" w:type="dxa"/>
            <w:tcBorders>
              <w:bottom w:val="single" w:color="auto" w:sz="18" w:space="0"/>
              <w:right w:val="nil"/>
            </w:tcBorders>
            <w:shd w:val="clear" w:color="auto" w:fill="FFFFFF" w:themeFill="background1"/>
          </w:tcPr>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7.1 自给自足且适合于目标的多样化供水</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7.2 多功能水利基础设施</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7.3 集成智能控制</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7.4 健全的基础设施</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7.5 多种规模的基础设施和所有权</w:t>
            </w:r>
          </w:p>
          <w:p>
            <w:pP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7.6 足够的维护</w:t>
            </w:r>
          </w:p>
        </w:tc>
      </w:tr>
    </w:tbl>
    <w:p>
      <w:pPr>
        <w:spacing w:line="360" w:lineRule="auto"/>
        <w:ind w:firstLine="420" w:firstLineChars="175"/>
        <w:jc w:val="left"/>
        <w:rPr>
          <w:rFonts w:ascii="宋体" w:hAnsi="宋体"/>
          <w:sz w:val="24"/>
        </w:rPr>
      </w:pPr>
      <w:r>
        <w:rPr>
          <w:rFonts w:hint="eastAsia" w:ascii="宋体" w:hAnsi="宋体"/>
          <w:sz w:val="24"/>
        </w:rPr>
        <w:t>表2.2中排名靠前的七项指标，每一项都能确保良好的水敏感管理、促进社区资本、平衡基础服务、提高生产效率和资源利用效率、提高环境健康水平，并能脱颖而出。确保城市空间的安全，促进适应性基础设施。一级的7项指标涵盖对水敏感的城市的总体社会、技术和环境目标。34项二类指标是7个一级指标、细分指标和水敏感城市的具体指标中的衡量指标。每个指标的考核都是定性的，分为1至5个等级。分数根据最适合本市实际的解释确定。表2.3是按分值评价的具体实例。</w:t>
      </w:r>
    </w:p>
    <w:p>
      <w:pPr>
        <w:spacing w:line="360" w:lineRule="auto"/>
        <w:jc w:val="center"/>
      </w:pPr>
      <w:r>
        <w:rPr>
          <w:rFonts w:hint="eastAsia"/>
        </w:rPr>
        <w:t>表2.3  具体指标评级说明范例</w:t>
      </w:r>
    </w:p>
    <w:tbl>
      <w:tblPr>
        <w:tblStyle w:val="26"/>
        <w:tblW w:w="8340"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32"/>
        <w:gridCol w:w="6708"/>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6" w:hRule="atLeast"/>
          <w:jc w:val="center"/>
        </w:trPr>
        <w:tc>
          <w:tcPr>
            <w:tcW w:w="1632" w:type="dxa"/>
            <w:tcBorders>
              <w:top w:val="single" w:color="auto" w:sz="18" w:space="0"/>
              <w:left w:val="nil"/>
              <w:bottom w:val="single" w:color="000000" w:themeColor="text1" w:sz="8" w:space="0"/>
              <w:right w:val="nil"/>
              <w:insideH w:val="single" w:sz="8" w:space="0"/>
              <w:insideV w:val="nil"/>
            </w:tcBorders>
            <w:vAlign w:val="center"/>
          </w:tcPr>
          <w:p>
            <w:pPr>
              <w:spacing w:before="0" w:after="0" w:line="240" w:lineRule="auto"/>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指标</w:t>
            </w:r>
          </w:p>
        </w:tc>
        <w:tc>
          <w:tcPr>
            <w:tcW w:w="6708" w:type="dxa"/>
            <w:tcBorders>
              <w:top w:val="single" w:color="auto" w:sz="18" w:space="0"/>
              <w:bottom w:val="single" w:color="000000" w:themeColor="text1" w:sz="8" w:space="0"/>
              <w:right w:val="nil"/>
              <w:insideH w:val="single" w:sz="8" w:space="0"/>
              <w:insideV w:val="nil"/>
            </w:tcBorders>
          </w:tcPr>
          <w:p>
            <w:pPr>
              <w:spacing w:before="0" w:after="0" w:line="240" w:lineRule="auto"/>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1.  确保良好的水敏感治理 ；</w:t>
            </w:r>
          </w:p>
          <w:p>
            <w:pPr>
              <w:spacing w:before="0" w:after="0" w:line="240" w:lineRule="auto"/>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2.  水是城市规划设计中的关键要素</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5" w:hRule="atLeast"/>
          <w:jc w:val="center"/>
        </w:trPr>
        <w:tc>
          <w:tcPr>
            <w:tcW w:w="1632" w:type="dxa"/>
            <w:vMerge w:val="restart"/>
            <w:tcBorders>
              <w:left w:val="nil"/>
              <w:right w:val="nil"/>
            </w:tcBorders>
            <w:shd w:val="clear" w:color="auto" w:fill="FFFFFF" w:themeFill="background1"/>
            <w:vAlign w:val="center"/>
          </w:tcPr>
          <w:p>
            <w:pPr>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等级</w:t>
            </w:r>
          </w:p>
        </w:tc>
        <w:tc>
          <w:tcPr>
            <w:tcW w:w="6708" w:type="dxa"/>
            <w:tcBorders>
              <w:right w:val="nil"/>
            </w:tcBorders>
            <w:shd w:val="clear" w:color="auto" w:fill="FFFFFF" w:themeFill="background1"/>
          </w:tcPr>
          <w:p>
            <w:pPr>
              <w:rPr>
                <w:rFonts w:asciiTheme="minorHAnsi" w:hAnsiTheme="minorHAnsi" w:eastAsiaTheme="minorEastAsia" w:cstheme="minorBidi"/>
                <w:color w:val="000000" w:themeColor="text1" w:themeShade="BF"/>
              </w:rPr>
            </w:pPr>
            <w:r>
              <w:rPr>
                <w:rFonts w:hint="eastAsia" w:asciiTheme="minorHAnsi" w:hAnsiTheme="minorHAnsi" w:eastAsiaTheme="minorEastAsia" w:cstheme="minorBidi"/>
                <w:color w:val="000000" w:themeColor="text1" w:themeShade="BF"/>
              </w:rPr>
              <w:t>1. 除了基本服务，水政策和管理很少考虑城市规划事项</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7" w:hRule="atLeast"/>
          <w:jc w:val="center"/>
        </w:trPr>
        <w:tc>
          <w:tcPr>
            <w:tcW w:w="1632" w:type="dxa"/>
            <w:vMerge w:val="continue"/>
            <w:shd w:val="clear" w:color="auto" w:fill="FFFFFF" w:themeFill="background1"/>
            <w:vAlign w:val="center"/>
          </w:tcPr>
          <w:p>
            <w:pPr>
              <w:jc w:val="center"/>
              <w:rPr>
                <w:rFonts w:asciiTheme="minorHAnsi" w:hAnsiTheme="minorHAnsi" w:eastAsiaTheme="minorEastAsia" w:cstheme="minorBidi"/>
                <w:b/>
                <w:bCs w:val="0"/>
                <w:color w:val="000000" w:themeColor="text1" w:themeShade="BF"/>
              </w:rPr>
            </w:pPr>
          </w:p>
        </w:tc>
        <w:tc>
          <w:tcPr>
            <w:tcW w:w="6708" w:type="dxa"/>
            <w:shd w:val="clear" w:color="auto" w:fill="FFFFFF" w:themeFill="background1"/>
          </w:tcPr>
          <w:p>
            <w:pPr>
              <w:rPr>
                <w:rFonts w:asciiTheme="minorHAnsi" w:hAnsiTheme="minorHAnsi" w:eastAsiaTheme="minorEastAsia" w:cstheme="minorBidi"/>
                <w:color w:val="000000" w:themeColor="text1" w:themeShade="BF"/>
              </w:rPr>
            </w:pPr>
            <w:r>
              <w:rPr>
                <w:rFonts w:hint="eastAsia" w:asciiTheme="minorHAnsi" w:hAnsiTheme="minorHAnsi" w:eastAsiaTheme="minorEastAsia" w:cstheme="minorBidi"/>
                <w:color w:val="000000" w:themeColor="text1" w:themeShade="BF"/>
              </w:rPr>
              <w:t>2. 可持续发展的总体政策已经到位，但还缺乏重点的综合水系统规划</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5" w:hRule="atLeast"/>
          <w:jc w:val="center"/>
        </w:trPr>
        <w:tc>
          <w:tcPr>
            <w:tcW w:w="1632" w:type="dxa"/>
            <w:vMerge w:val="continue"/>
            <w:tcBorders>
              <w:left w:val="nil"/>
              <w:right w:val="nil"/>
            </w:tcBorders>
            <w:shd w:val="clear" w:color="auto" w:fill="FFFFFF" w:themeFill="background1"/>
            <w:vAlign w:val="center"/>
          </w:tcPr>
          <w:p>
            <w:pPr>
              <w:jc w:val="center"/>
              <w:rPr>
                <w:rFonts w:asciiTheme="minorHAnsi" w:hAnsiTheme="minorHAnsi" w:eastAsiaTheme="minorEastAsia" w:cstheme="minorBidi"/>
                <w:b/>
                <w:bCs w:val="0"/>
                <w:color w:val="000000" w:themeColor="text1" w:themeShade="BF"/>
              </w:rPr>
            </w:pPr>
          </w:p>
        </w:tc>
        <w:tc>
          <w:tcPr>
            <w:tcW w:w="6708" w:type="dxa"/>
            <w:tcBorders>
              <w:right w:val="nil"/>
            </w:tcBorders>
            <w:shd w:val="clear" w:color="auto" w:fill="FFFFFF" w:themeFill="background1"/>
          </w:tcPr>
          <w:p>
            <w:pPr>
              <w:rPr>
                <w:rFonts w:asciiTheme="minorHAnsi" w:hAnsiTheme="minorHAnsi" w:eastAsiaTheme="minorEastAsia" w:cstheme="minorBidi"/>
                <w:color w:val="000000" w:themeColor="text1" w:themeShade="BF"/>
              </w:rPr>
            </w:pPr>
            <w:r>
              <w:rPr>
                <w:rFonts w:hint="eastAsia" w:asciiTheme="minorHAnsi" w:hAnsiTheme="minorHAnsi" w:eastAsiaTheme="minorEastAsia" w:cstheme="minorBidi"/>
                <w:color w:val="000000" w:themeColor="text1" w:themeShade="BF"/>
              </w:rPr>
              <w:t>3. 城市水政策认识到综合水管理规划与水系统规划需在各部门协调下发挥作用，故通常由单一机构或单一部门领导</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64" w:hRule="atLeast"/>
          <w:jc w:val="center"/>
        </w:trPr>
        <w:tc>
          <w:tcPr>
            <w:tcW w:w="1632" w:type="dxa"/>
            <w:vMerge w:val="continue"/>
            <w:shd w:val="clear" w:color="auto" w:fill="FFFFFF" w:themeFill="background1"/>
            <w:vAlign w:val="center"/>
          </w:tcPr>
          <w:p>
            <w:pPr>
              <w:jc w:val="center"/>
              <w:rPr>
                <w:rFonts w:asciiTheme="minorHAnsi" w:hAnsiTheme="minorHAnsi" w:eastAsiaTheme="minorEastAsia" w:cstheme="minorBidi"/>
                <w:b/>
                <w:bCs w:val="0"/>
                <w:color w:val="000000" w:themeColor="text1" w:themeShade="BF"/>
              </w:rPr>
            </w:pPr>
          </w:p>
        </w:tc>
        <w:tc>
          <w:tcPr>
            <w:tcW w:w="6708" w:type="dxa"/>
            <w:shd w:val="clear" w:color="auto" w:fill="FFFFFF" w:themeFill="background1"/>
          </w:tcPr>
          <w:p>
            <w:pPr>
              <w:numPr>
                <w:ilvl w:val="0"/>
                <w:numId w:val="7"/>
              </w:numPr>
              <w:rPr>
                <w:rFonts w:asciiTheme="minorHAnsi" w:hAnsiTheme="minorHAnsi" w:eastAsiaTheme="minorEastAsia" w:cstheme="minorBidi"/>
                <w:color w:val="000000" w:themeColor="text1" w:themeShade="BF"/>
              </w:rPr>
            </w:pPr>
            <w:r>
              <w:rPr>
                <w:rFonts w:hint="eastAsia" w:asciiTheme="minorHAnsi" w:hAnsiTheme="minorHAnsi" w:eastAsiaTheme="minorEastAsia" w:cstheme="minorBidi"/>
                <w:color w:val="000000" w:themeColor="text1" w:themeShade="BF"/>
              </w:rPr>
              <w:t>城市水政策承认水资源综合管理规划以及组织间协作的重要作用，应急计划和方法（如情景规划）经常使用，以应对诸如人口增长和气候变化等不确定性问题；监测和评估规划已到位</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860" w:hRule="atLeast"/>
          <w:jc w:val="center"/>
        </w:trPr>
        <w:tc>
          <w:tcPr>
            <w:tcW w:w="1632" w:type="dxa"/>
            <w:vMerge w:val="continue"/>
            <w:tcBorders>
              <w:left w:val="nil"/>
              <w:bottom w:val="single" w:color="auto" w:sz="18" w:space="0"/>
              <w:right w:val="nil"/>
            </w:tcBorders>
            <w:shd w:val="clear" w:color="auto" w:fill="FFFFFF" w:themeFill="background1"/>
            <w:vAlign w:val="center"/>
          </w:tcPr>
          <w:p>
            <w:pPr>
              <w:jc w:val="center"/>
              <w:rPr>
                <w:rFonts w:asciiTheme="minorHAnsi" w:hAnsiTheme="minorHAnsi" w:eastAsiaTheme="minorEastAsia" w:cstheme="minorBidi"/>
                <w:b/>
                <w:bCs w:val="0"/>
                <w:color w:val="000000" w:themeColor="text1" w:themeShade="BF"/>
              </w:rPr>
            </w:pPr>
          </w:p>
        </w:tc>
        <w:tc>
          <w:tcPr>
            <w:tcW w:w="6708" w:type="dxa"/>
            <w:tcBorders>
              <w:bottom w:val="single" w:color="auto" w:sz="18" w:space="0"/>
              <w:right w:val="nil"/>
            </w:tcBorders>
            <w:shd w:val="clear" w:color="auto" w:fill="FFFFFF" w:themeFill="background1"/>
          </w:tcPr>
          <w:p>
            <w:pPr>
              <w:rPr>
                <w:rFonts w:asciiTheme="minorHAnsi" w:hAnsiTheme="minorHAnsi" w:eastAsiaTheme="minorEastAsia" w:cstheme="minorBidi"/>
                <w:color w:val="000000" w:themeColor="text1" w:themeShade="BF"/>
              </w:rPr>
            </w:pPr>
            <w:r>
              <w:rPr>
                <w:rFonts w:hint="eastAsia" w:asciiTheme="minorHAnsi" w:hAnsiTheme="minorHAnsi" w:eastAsiaTheme="minorEastAsia" w:cstheme="minorBidi"/>
                <w:color w:val="000000" w:themeColor="text1" w:themeShade="BF"/>
              </w:rPr>
              <w:t>5. 水系统规划完全融入城市规划设计；水系统规划的跨部门合作在官方政策中有明确规定并纳入法定规划框架 ；应急计划和方法（如情景规划）经常使用，通过强大的决策和探索性建模来处理诸如人口增长和气候变化等不确定性问题 ；监测和评估规划已到位 ；城市设计指南解决了水在实现宜居性、可持续性、韧性和生产力等目标方面的关键作用；战略和计划具有明确的适应性</w:t>
            </w:r>
          </w:p>
        </w:tc>
      </w:tr>
    </w:tbl>
    <w:p>
      <w:pPr>
        <w:pStyle w:val="24"/>
        <w:numPr>
          <w:ilvl w:val="1"/>
          <w:numId w:val="1"/>
        </w:numPr>
        <w:spacing w:line="360" w:lineRule="auto"/>
        <w:ind w:firstLineChars="0"/>
        <w:rPr>
          <w:rFonts w:ascii="黑体" w:hAnsi="宋体" w:eastAsia="黑体"/>
          <w:b/>
          <w:bCs/>
          <w:sz w:val="30"/>
        </w:rPr>
      </w:pPr>
      <w:r>
        <w:rPr>
          <w:rFonts w:hint="eastAsia" w:ascii="黑体" w:hAnsi="宋体" w:eastAsia="黑体"/>
          <w:b/>
          <w:bCs/>
          <w:sz w:val="28"/>
        </w:rPr>
        <w:t>中国海绵城市评价指标</w:t>
      </w:r>
    </w:p>
    <w:p>
      <w:pPr>
        <w:pStyle w:val="24"/>
        <w:spacing w:line="360" w:lineRule="auto"/>
        <w:ind w:firstLineChars="175"/>
        <w:rPr>
          <w:rFonts w:ascii="宋体" w:hAnsi="宋体"/>
          <w:sz w:val="24"/>
        </w:rPr>
      </w:pPr>
      <w:r>
        <w:rPr>
          <w:rFonts w:hint="eastAsia" w:ascii="宋体" w:hAnsi="宋体"/>
          <w:sz w:val="24"/>
        </w:rPr>
        <w:t>2018年12月，国家住房和建设部批准《海绵城市建设评价标准》为国家标准，自2019年8月1日起实施。随着该标准的引入，中国首次制定了符合国情和中国海绵城市发展需要的海绵城市评价标准。其主要指标为年径流总量控制率和年径流污染削减率。</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年径流总量控制率</w:t>
      </w:r>
    </w:p>
    <w:p>
      <w:pPr>
        <w:spacing w:line="360" w:lineRule="auto"/>
        <w:ind w:firstLine="480" w:firstLineChars="200"/>
        <w:rPr>
          <w:rFonts w:ascii="宋体" w:hAnsi="宋体"/>
          <w:sz w:val="24"/>
        </w:rPr>
      </w:pPr>
      <w:r>
        <w:rPr>
          <w:rFonts w:hint="eastAsia" w:ascii="宋体" w:hAnsi="宋体"/>
          <w:sz w:val="24"/>
        </w:rPr>
        <w:t>年径流控制率通过增加雨水浸出量，通过LID措施对雨水径流进行阻隔和净化，控制面源污染，可以达到有效促进地下水回灌的目的。重要的是在城市建设中通过自然和人工加强下渗、滞留、净化等方式控制降水在垫层地表的径流，并保持控制的年平均降水量与年平均降水量的比例。反映了海绵城市自然水文特性的恢复效果，年径流总量控制率的检查要求基本上与以前公布的技术标准相同，主要是参照“</w:t>
      </w:r>
      <w:r>
        <w:rPr>
          <w:rFonts w:hint="eastAsia" w:ascii="宋体" w:hAnsi="宋体"/>
          <w:sz w:val="24"/>
          <w:lang w:val="zh-CN"/>
        </w:rPr>
        <w:t>我国年径流总量控制率分区图</w:t>
      </w:r>
      <w:r>
        <w:rPr>
          <w:rFonts w:hint="eastAsia" w:ascii="宋体" w:hAnsi="宋体"/>
          <w:sz w:val="24"/>
        </w:rPr>
        <w:t>”，先看所处地区属于什么区，再详细参考规定值。（图2.1）。</w:t>
      </w:r>
    </w:p>
    <w:p>
      <w:pPr>
        <w:spacing w:line="360" w:lineRule="auto"/>
        <w:ind w:firstLine="420" w:firstLineChars="175"/>
        <w:rPr>
          <w:rFonts w:ascii="宋体" w:hAnsi="宋体"/>
          <w:sz w:val="24"/>
        </w:rPr>
      </w:pPr>
      <w:r>
        <w:rPr>
          <w:rFonts w:hint="eastAsia" w:ascii="宋体" w:hAnsi="宋体"/>
          <w:sz w:val="24"/>
        </w:rPr>
        <w:drawing>
          <wp:inline distT="0" distB="0" distL="0" distR="0">
            <wp:extent cx="5062220" cy="3046095"/>
            <wp:effectExtent l="0" t="0" r="5080" b="1905"/>
            <wp:docPr id="1" name="图片 0" descr="极速截图202004092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极速截图202004092230.png"/>
                    <pic:cNvPicPr>
                      <a:picLocks noChangeAspect="1"/>
                    </pic:cNvPicPr>
                  </pic:nvPicPr>
                  <pic:blipFill>
                    <a:blip r:embed="rId7" cstate="print"/>
                    <a:stretch>
                      <a:fillRect/>
                    </a:stretch>
                  </pic:blipFill>
                  <pic:spPr>
                    <a:xfrm>
                      <a:off x="0" y="0"/>
                      <a:ext cx="5062220" cy="3046095"/>
                    </a:xfrm>
                    <a:prstGeom prst="rect">
                      <a:avLst/>
                    </a:prstGeom>
                  </pic:spPr>
                </pic:pic>
              </a:graphicData>
            </a:graphic>
          </wp:inline>
        </w:drawing>
      </w:r>
    </w:p>
    <w:p>
      <w:pPr>
        <w:spacing w:line="360" w:lineRule="auto"/>
        <w:ind w:firstLine="420" w:firstLineChars="200"/>
        <w:jc w:val="center"/>
        <w:rPr>
          <w:rFonts w:ascii="宋体" w:hAnsi="宋体"/>
          <w:szCs w:val="21"/>
        </w:rPr>
      </w:pPr>
      <w:r>
        <w:rPr>
          <w:rFonts w:hint="eastAsia" w:ascii="宋体" w:hAnsi="宋体"/>
          <w:szCs w:val="21"/>
        </w:rPr>
        <w:t>图2.1  我国大陆地区年径流总量控制率分区图</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年径流污染物总量削减率</w:t>
      </w:r>
    </w:p>
    <w:p>
      <w:pPr>
        <w:spacing w:line="360" w:lineRule="auto"/>
        <w:ind w:firstLine="480" w:firstLineChars="200"/>
        <w:rPr>
          <w:rFonts w:ascii="宋体" w:hAnsi="宋体"/>
          <w:sz w:val="24"/>
        </w:rPr>
      </w:pPr>
      <w:r>
        <w:rPr>
          <w:rFonts w:hint="eastAsia" w:ascii="宋体" w:hAnsi="宋体"/>
          <w:sz w:val="24"/>
        </w:rPr>
        <w:t>每年减少污染物排放总量的比率反映了海绵城市的建造对污水污染（特指城市地表源污染）的控制作用。即通过自然和人工加强下渗、滞留、清洗等方式控制城市建设中的雨水径流在垫层面上的流动，并保持每年清除的污染物与年均径流污染物的比例。悬浮物(SS)在审核中经常被用作出水污染物的控制指标，因为其他所有的污染物指标都与降水过程中的悬浮物(SS)有关。新建项目中取得状态许可的污染物削减率不得低于70%，改造项目中取得状态许可的污染物削减率不得低于40%。</w:t>
      </w:r>
    </w:p>
    <w:p>
      <w:pPr>
        <w:pStyle w:val="24"/>
        <w:numPr>
          <w:ilvl w:val="1"/>
          <w:numId w:val="1"/>
        </w:numPr>
        <w:spacing w:line="360" w:lineRule="auto"/>
        <w:ind w:firstLineChars="0"/>
        <w:rPr>
          <w:rFonts w:ascii="黑体" w:hAnsi="宋体" w:eastAsia="黑体"/>
          <w:b/>
          <w:bCs/>
          <w:sz w:val="30"/>
        </w:rPr>
      </w:pPr>
      <w:r>
        <w:rPr>
          <w:rFonts w:hint="eastAsia" w:ascii="黑体" w:hAnsi="宋体" w:eastAsia="黑体"/>
          <w:b/>
          <w:bCs/>
          <w:sz w:val="28"/>
        </w:rPr>
        <w:t>海绵城市评价理论方法</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容积法</w:t>
      </w:r>
    </w:p>
    <w:p>
      <w:pPr>
        <w:pStyle w:val="4"/>
        <w:ind w:firstLine="480"/>
        <w:rPr>
          <w:color w:val="auto"/>
          <w:sz w:val="24"/>
        </w:rPr>
      </w:pPr>
      <w:r>
        <w:rPr>
          <w:rFonts w:hint="eastAsia"/>
          <w:color w:val="auto"/>
          <w:sz w:val="24"/>
        </w:rPr>
        <w:t>目前可以有效控制径流总量的方法是容积法。换句话说，如果可以</w:t>
      </w:r>
      <w:r>
        <w:rPr>
          <w:rFonts w:hint="eastAsia"/>
          <w:color w:val="auto"/>
          <w:sz w:val="24"/>
          <w:lang w:val="zh-CN"/>
        </w:rPr>
        <w:t>年径流总量控制率</w:t>
      </w:r>
      <w:r>
        <w:rPr>
          <w:rFonts w:hint="eastAsia"/>
          <w:color w:val="auto"/>
          <w:sz w:val="24"/>
        </w:rPr>
        <w:t>，根据由南京市政府出版的</w:t>
      </w:r>
      <w:r>
        <w:rPr>
          <w:rFonts w:hint="eastAsia"/>
          <w:color w:val="auto"/>
          <w:sz w:val="24"/>
          <w:lang w:val="zh-CN"/>
        </w:rPr>
        <w:t>《南京市海绵城市规划建设指南》</w:t>
      </w:r>
      <w:r>
        <w:rPr>
          <w:rFonts w:hint="eastAsia"/>
          <w:color w:val="auto"/>
          <w:sz w:val="24"/>
        </w:rPr>
        <w:t>，通过计算每个流域低污染设施的设计水储存容量和设计水储存容量的总和，可以降低流域的年度总流量控制率和流域污染减少总量。当海绵城市设施设计为控制径流和径流污染时，其累计容积率指标为“单位面积的控制容积率”。设计节约的体积一般采用容积法计算，计算公式如式（1）所示</w:t>
      </w:r>
      <w:r>
        <w:rPr>
          <w:color w:val="auto"/>
          <w:sz w:val="24"/>
        </w:rPr>
        <w:t>:</w:t>
      </w:r>
    </w:p>
    <w:p>
      <w:pPr>
        <w:pStyle w:val="22"/>
      </w:pPr>
      <w:r>
        <w:rPr>
          <w:rFonts w:hint="eastAsia"/>
        </w:rPr>
        <w:tab/>
      </w:r>
      <w:r>
        <w:rPr>
          <w:position w:val="-6"/>
        </w:rPr>
        <w:object>
          <v:shape id="_x0000_i1025" o:spt="75" type="#_x0000_t75" style="height:13.5pt;width:61.5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hint="eastAsia"/>
        </w:rPr>
        <w:tab/>
      </w:r>
      <w:r>
        <w:rPr>
          <w:rFonts w:hint="eastAsia"/>
        </w:rPr>
        <w:t>式（1）</w:t>
      </w:r>
    </w:p>
    <w:p>
      <w:pPr>
        <w:pStyle w:val="4"/>
        <w:ind w:firstLine="480"/>
        <w:rPr>
          <w:color w:val="auto"/>
          <w:sz w:val="24"/>
        </w:rPr>
      </w:pPr>
      <w:r>
        <w:rPr>
          <w:rFonts w:hint="eastAsia"/>
          <w:color w:val="auto"/>
          <w:sz w:val="24"/>
        </w:rPr>
        <w:t>其中，V为预测蓄水量(m³)；H为预测降水量，单位为mm；总降水径流系数可以用φ表示，计算方法采用加权平均法；F为水域面积（hm²）</w:t>
      </w:r>
      <w:r>
        <w:rPr>
          <w:color w:val="auto"/>
          <w:sz w:val="24"/>
        </w:rPr>
        <w:t>。</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模型法</w:t>
      </w:r>
    </w:p>
    <w:p>
      <w:pPr>
        <w:pStyle w:val="4"/>
        <w:ind w:firstLine="480"/>
        <w:rPr>
          <w:color w:val="auto"/>
          <w:sz w:val="24"/>
        </w:rPr>
      </w:pPr>
      <w:r>
        <w:rPr>
          <w:rFonts w:hint="eastAsia"/>
          <w:color w:val="auto"/>
          <w:sz w:val="24"/>
        </w:rPr>
        <w:t>随着海绵城市的发展和试点城市的增多，数量庞大、种类繁多的改造措施和不同的区域条件等问题逐渐显现。要以当前效果评价和竣工验收时的详细过程数据来支撑城市海绵建设的效果。但是，如果用所有的方法来评价，用实际检查的数据来支持实验室的检查，不仅偶然性大，而且人工多、耗时多。因此，目前多用软件制造模型运用模拟法来进行建设效果的前期评估。</w:t>
      </w:r>
    </w:p>
    <w:p>
      <w:pPr>
        <w:pStyle w:val="24"/>
        <w:numPr>
          <w:ilvl w:val="2"/>
          <w:numId w:val="1"/>
        </w:numPr>
        <w:spacing w:line="360" w:lineRule="auto"/>
        <w:ind w:firstLineChars="0"/>
        <w:rPr>
          <w:rFonts w:ascii="黑体" w:hAnsi="宋体" w:eastAsia="黑体"/>
          <w:b/>
          <w:bCs/>
          <w:sz w:val="30"/>
        </w:rPr>
      </w:pPr>
      <w:r>
        <w:rPr>
          <w:rFonts w:hint="eastAsia" w:ascii="黑体" w:hAnsi="宋体" w:eastAsia="黑体"/>
          <w:sz w:val="24"/>
        </w:rPr>
        <w:t>综合评估法</w:t>
      </w:r>
    </w:p>
    <w:p>
      <w:pPr>
        <w:pStyle w:val="4"/>
        <w:ind w:firstLine="480"/>
        <w:rPr>
          <w:b/>
          <w:bCs/>
          <w:color w:val="auto"/>
          <w:sz w:val="24"/>
        </w:rPr>
      </w:pPr>
      <w:r>
        <w:rPr>
          <w:rFonts w:hint="eastAsia"/>
          <w:bCs/>
          <w:color w:val="auto"/>
          <w:sz w:val="24"/>
        </w:rPr>
        <w:t>閤超成前期通过大量的调查问卷，分别分析了南北方多/少雨的探索性因子，提取了21个测量指数作为四大因素，相应地命名为水安全、水环境、水生态和水资源。为表区别，北方降水偏少地区的因素划分为B1、B2、B3、B4，北方降水偏少地区海绵城市评价指标分类显示在表2.4中。</w:t>
      </w:r>
    </w:p>
    <w:p>
      <w:pPr>
        <w:spacing w:line="360" w:lineRule="auto"/>
        <w:jc w:val="center"/>
        <w:rPr>
          <w:rFonts w:ascii="宋体" w:hAnsi="宋体"/>
          <w:szCs w:val="21"/>
        </w:rPr>
      </w:pPr>
      <w:r>
        <w:rPr>
          <w:rFonts w:hint="eastAsia"/>
        </w:rPr>
        <w:t>表2.4  北方少雨地区海绵城市评价指标分类及命名结果</w:t>
      </w:r>
    </w:p>
    <w:tbl>
      <w:tblPr>
        <w:tblStyle w:val="26"/>
        <w:tblW w:w="8300"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50"/>
        <w:gridCol w:w="4150"/>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08" w:hRule="atLeast"/>
          <w:jc w:val="center"/>
        </w:trPr>
        <w:tc>
          <w:tcPr>
            <w:tcW w:w="4150" w:type="dxa"/>
            <w:tcBorders>
              <w:top w:val="single" w:color="auto" w:sz="18" w:space="0"/>
              <w:left w:val="nil"/>
              <w:bottom w:val="single" w:color="000000" w:themeColor="text1" w:sz="8" w:space="0"/>
              <w:right w:val="nil"/>
              <w:insideH w:val="single" w:sz="8" w:space="0"/>
              <w:insideV w:val="nil"/>
            </w:tcBorders>
            <w:shd w:val="clear" w:color="auto" w:fill="auto"/>
            <w:vAlign w:val="center"/>
          </w:tcPr>
          <w:p>
            <w:pPr>
              <w:spacing w:before="0" w:after="0" w:line="360" w:lineRule="auto"/>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因子名称</w:t>
            </w:r>
          </w:p>
        </w:tc>
        <w:tc>
          <w:tcPr>
            <w:tcW w:w="4150" w:type="dxa"/>
            <w:tcBorders>
              <w:top w:val="single" w:color="auto" w:sz="18" w:space="0"/>
              <w:bottom w:val="single" w:color="000000" w:themeColor="text1" w:sz="8" w:space="0"/>
              <w:right w:val="nil"/>
              <w:insideH w:val="single" w:sz="8" w:space="0"/>
              <w:insideV w:val="nil"/>
            </w:tcBorders>
            <w:shd w:val="clear" w:color="auto" w:fill="auto"/>
            <w:vAlign w:val="center"/>
          </w:tcPr>
          <w:p>
            <w:pPr>
              <w:spacing w:before="0" w:after="0" w:line="360" w:lineRule="auto"/>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因子所包含的指标</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9" w:hRule="atLeast"/>
          <w:jc w:val="center"/>
        </w:trPr>
        <w:tc>
          <w:tcPr>
            <w:tcW w:w="4150" w:type="dxa"/>
            <w:vMerge w:val="restart"/>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水安全</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B1</w:t>
            </w: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下凹绿地率（X5）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不透水面率（X1）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排水工程达标率（X9）</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降雨滞蓄率（X11）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防洪工程达标率（X12）</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排水工程维护率（X8）</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restart"/>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水环境</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B2</w:t>
            </w: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初期雨水处理率（X4）</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水功能区水质达标率（X20）</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地下水质达标率（X19）</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河流水质达标率（X17）</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湖泊水质达标率（X18）</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restart"/>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水生态</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B3</w:t>
            </w:r>
          </w:p>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景观连通性（X21）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湿地保护率（X10）</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市域绿地率（X2）</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生态坡岸率（X7）</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建成区绿地率（X3）</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水面率（X13）</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restart"/>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水资源</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B4</w:t>
            </w:r>
          </w:p>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年径流总置控制率（X6）</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雨水资源利用率（X15）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4" w:hRule="atLeast"/>
          <w:jc w:val="center"/>
        </w:trPr>
        <w:tc>
          <w:tcPr>
            <w:tcW w:w="415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地下水位变化率（X14）</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36" w:hRule="atLeast"/>
          <w:jc w:val="center"/>
        </w:trPr>
        <w:tc>
          <w:tcPr>
            <w:tcW w:w="4150" w:type="dxa"/>
            <w:vMerge w:val="continue"/>
            <w:tcBorders>
              <w:left w:val="nil"/>
              <w:bottom w:val="single" w:color="auto" w:sz="18" w:space="0"/>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150" w:type="dxa"/>
            <w:tcBorders>
              <w:bottom w:val="single" w:color="auto" w:sz="18" w:space="0"/>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再生水利用率（X16）</w:t>
            </w:r>
          </w:p>
        </w:tc>
      </w:tr>
    </w:tbl>
    <w:p>
      <w:pPr>
        <w:spacing w:line="360" w:lineRule="auto"/>
        <w:ind w:firstLine="480" w:firstLineChars="200"/>
        <w:jc w:val="left"/>
        <w:rPr>
          <w:bCs/>
          <w:sz w:val="24"/>
        </w:rPr>
      </w:pPr>
      <w:r>
        <w:rPr>
          <w:rFonts w:hint="eastAsia"/>
          <w:bCs/>
          <w:sz w:val="24"/>
        </w:rPr>
        <w:t>问卷调查的结果显示虽然南方雨季地区水资源丰富，但部分城市出现了水污染，导致水质类型的缺水现象。由于当地水资源供应严重不足，80%以上的原水要从市外排放，因此取消了南方雨区地下水位变化率。将南方多雨地区的因子代号成为N1、N2、N3和N4，南方多雨地区的评价指标如表2.5所示。</w:t>
      </w:r>
    </w:p>
    <w:p>
      <w:pPr>
        <w:spacing w:line="360" w:lineRule="auto"/>
        <w:jc w:val="center"/>
        <w:rPr>
          <w:rFonts w:ascii="宋体" w:hAnsi="宋体"/>
          <w:szCs w:val="21"/>
        </w:rPr>
      </w:pPr>
      <w:r>
        <w:rPr>
          <w:rFonts w:hint="eastAsia"/>
        </w:rPr>
        <w:t>表2.5  南方多雨地区海绵城市评价指标分类及命名结果</w:t>
      </w:r>
    </w:p>
    <w:tbl>
      <w:tblPr>
        <w:tblStyle w:val="26"/>
        <w:tblW w:w="8620" w:type="dxa"/>
        <w:jc w:val="center"/>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310"/>
        <w:gridCol w:w="4310"/>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52" w:hRule="atLeast"/>
          <w:jc w:val="center"/>
        </w:trPr>
        <w:tc>
          <w:tcPr>
            <w:tcW w:w="4310" w:type="dxa"/>
            <w:tcBorders>
              <w:top w:val="single" w:color="auto" w:sz="18" w:space="0"/>
              <w:left w:val="nil"/>
              <w:bottom w:val="single" w:color="000000" w:themeColor="text1" w:sz="8" w:space="0"/>
              <w:right w:val="nil"/>
              <w:insideH w:val="single" w:sz="8" w:space="0"/>
              <w:insideV w:val="nil"/>
            </w:tcBorders>
            <w:shd w:val="clear" w:color="auto" w:fill="auto"/>
            <w:vAlign w:val="center"/>
          </w:tcPr>
          <w:p>
            <w:pPr>
              <w:spacing w:before="0" w:after="0" w:line="360" w:lineRule="auto"/>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因子名称</w:t>
            </w:r>
          </w:p>
        </w:tc>
        <w:tc>
          <w:tcPr>
            <w:tcW w:w="4310" w:type="dxa"/>
            <w:tcBorders>
              <w:top w:val="single" w:color="auto" w:sz="18" w:space="0"/>
              <w:bottom w:val="single" w:color="000000" w:themeColor="text1" w:sz="8" w:space="0"/>
              <w:right w:val="nil"/>
              <w:insideH w:val="single" w:sz="8" w:space="0"/>
              <w:insideV w:val="nil"/>
            </w:tcBorders>
            <w:shd w:val="clear" w:color="auto" w:fill="auto"/>
            <w:vAlign w:val="center"/>
          </w:tcPr>
          <w:p>
            <w:pPr>
              <w:spacing w:before="0" w:after="0" w:line="360" w:lineRule="auto"/>
              <w:jc w:val="center"/>
              <w:rPr>
                <w:rFonts w:asciiTheme="minorHAnsi" w:hAnsiTheme="minorHAnsi" w:eastAsiaTheme="minorEastAsia" w:cstheme="minorBidi"/>
                <w:b/>
                <w:bCs w:val="0"/>
                <w:color w:val="000000" w:themeColor="text1" w:themeShade="BF"/>
              </w:rPr>
            </w:pPr>
            <w:r>
              <w:rPr>
                <w:rFonts w:hint="eastAsia" w:asciiTheme="minorHAnsi" w:hAnsiTheme="minorHAnsi" w:eastAsiaTheme="minorEastAsia" w:cstheme="minorBidi"/>
                <w:b w:val="0"/>
                <w:bCs/>
                <w:color w:val="000000" w:themeColor="text1" w:themeShade="BF"/>
              </w:rPr>
              <w:t>因子所包含的指标</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2" w:hRule="atLeast"/>
          <w:jc w:val="center"/>
        </w:trPr>
        <w:tc>
          <w:tcPr>
            <w:tcW w:w="4310" w:type="dxa"/>
            <w:vMerge w:val="restart"/>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水安全</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B1</w:t>
            </w: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下凹绿地率（X5）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不透水面率（X1）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排水工程达标率（X9）</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降雨滞蓄率（X11）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防洪工程达标率（X12）</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排水工程维护率（X8）</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restart"/>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水环境</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B2</w:t>
            </w: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初期雨水处理率（X4）</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水功能区水质达标率（X20）</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地下水质达标率（X19）</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河流水质达标率（X17）</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湖泊水质达标率（X18）</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restart"/>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水生态</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B3</w:t>
            </w:r>
          </w:p>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景观连通性（X21）</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湿地保护率（X10）</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市域绿地率（X2）</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生态坡岸率（X7）</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建成区绿地率（X3）</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水面率（X13）</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restart"/>
            <w:shd w:val="clear" w:color="auto" w:fill="auto"/>
            <w:vAlign w:val="center"/>
          </w:tcPr>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水资源</w:t>
            </w:r>
          </w:p>
          <w:p>
            <w:pPr>
              <w:jc w:val="center"/>
              <w:rPr>
                <w:rFonts w:ascii="宋体" w:hAnsi="宋体" w:eastAsiaTheme="minorEastAsia" w:cstheme="minorBidi"/>
                <w:b/>
                <w:bCs w:val="0"/>
                <w:color w:val="000000" w:themeColor="text1" w:themeShade="BF"/>
                <w:szCs w:val="21"/>
              </w:rPr>
            </w:pPr>
            <w:r>
              <w:rPr>
                <w:rFonts w:hint="eastAsia" w:ascii="宋体" w:hAnsi="宋体" w:eastAsiaTheme="minorEastAsia" w:cstheme="minorBidi"/>
                <w:b w:val="0"/>
                <w:bCs/>
                <w:color w:val="000000" w:themeColor="text1" w:themeShade="BF"/>
                <w:szCs w:val="21"/>
              </w:rPr>
              <w:t>B4</w:t>
            </w:r>
          </w:p>
          <w:p>
            <w:pPr>
              <w:jc w:val="center"/>
              <w:rPr>
                <w:rFonts w:ascii="宋体" w:hAnsi="宋体" w:eastAsiaTheme="minorEastAsia" w:cstheme="minorBidi"/>
                <w:b/>
                <w:bCs w:val="0"/>
                <w:color w:val="000000" w:themeColor="text1" w:themeShade="BF"/>
                <w:szCs w:val="21"/>
              </w:rPr>
            </w:pPr>
          </w:p>
        </w:tc>
        <w:tc>
          <w:tcPr>
            <w:tcW w:w="4310" w:type="dxa"/>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年径流总置控制率（X6）</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4" w:hRule="atLeast"/>
          <w:jc w:val="center"/>
        </w:trPr>
        <w:tc>
          <w:tcPr>
            <w:tcW w:w="4310" w:type="dxa"/>
            <w:vMerge w:val="continue"/>
            <w:tcBorders>
              <w:left w:val="nil"/>
              <w:right w:val="nil"/>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right w:val="nil"/>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雨水资源利用率（X15）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89" w:hRule="atLeast"/>
          <w:jc w:val="center"/>
        </w:trPr>
        <w:tc>
          <w:tcPr>
            <w:tcW w:w="4310" w:type="dxa"/>
            <w:vMerge w:val="continue"/>
            <w:tcBorders>
              <w:bottom w:val="single" w:color="auto" w:sz="18" w:space="0"/>
            </w:tcBorders>
            <w:shd w:val="clear" w:color="auto" w:fill="auto"/>
            <w:vAlign w:val="center"/>
          </w:tcPr>
          <w:p>
            <w:pPr>
              <w:jc w:val="center"/>
              <w:rPr>
                <w:rFonts w:ascii="宋体" w:hAnsi="宋体" w:eastAsiaTheme="minorEastAsia" w:cstheme="minorBidi"/>
                <w:b/>
                <w:bCs w:val="0"/>
                <w:color w:val="000000" w:themeColor="text1" w:themeShade="BF"/>
                <w:szCs w:val="21"/>
              </w:rPr>
            </w:pPr>
          </w:p>
        </w:tc>
        <w:tc>
          <w:tcPr>
            <w:tcW w:w="4310" w:type="dxa"/>
            <w:tcBorders>
              <w:bottom w:val="single" w:color="auto" w:sz="18" w:space="0"/>
            </w:tcBorders>
            <w:shd w:val="clear" w:color="auto" w:fill="auto"/>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再生水利用率（X16）</w:t>
            </w:r>
          </w:p>
        </w:tc>
      </w:tr>
    </w:tbl>
    <w:p>
      <w:pPr>
        <w:pStyle w:val="4"/>
        <w:ind w:firstLine="480"/>
        <w:rPr>
          <w:bCs/>
          <w:color w:val="auto"/>
          <w:sz w:val="24"/>
        </w:rPr>
      </w:pPr>
      <w:r>
        <w:rPr>
          <w:rFonts w:hint="eastAsia"/>
          <w:bCs/>
          <w:color w:val="auto"/>
          <w:sz w:val="24"/>
        </w:rPr>
        <w:t>接着閤超成以北京和上海为例，对北方多雨和南方少雨地区分别进行评价。评价步骤主要有：(1)确定各指标的列入及计算方法；(2)通过统计或计算，确定指数的实际值，评估值=标准值/实际值可以成为其计算的方法；(3)找到合适的标准，确定指标的实际值；(4)将指数的实际价值转换为估值价值；(5)检查各指标的权重；(6)计算总评价值。</w:t>
      </w:r>
    </w:p>
    <w:p>
      <w:pPr>
        <w:pStyle w:val="4"/>
        <w:ind w:firstLine="480"/>
        <w:rPr>
          <w:bCs/>
          <w:color w:val="auto"/>
          <w:sz w:val="24"/>
        </w:rPr>
      </w:pPr>
      <w:r>
        <w:rPr>
          <w:rFonts w:hint="eastAsia"/>
          <w:bCs/>
          <w:color w:val="auto"/>
          <w:sz w:val="24"/>
        </w:rPr>
        <w:t>海绵城市评价的原数据在统计年鉴、水报、环境质量速报等文件其中，还有部分数据来源于现有研宄和政府信息公开申请。得到表2.4和表2.5相关指标数据后，将转化后的评估值乘以利用建模得到的相应权重系数，最后得到海绵城市建设综合指数，以此来评价城市海绵城市建设所处水平。</w:t>
      </w:r>
    </w:p>
    <w:p>
      <w:pPr>
        <w:pStyle w:val="24"/>
        <w:numPr>
          <w:ilvl w:val="1"/>
          <w:numId w:val="1"/>
        </w:numPr>
        <w:spacing w:line="360" w:lineRule="auto"/>
        <w:ind w:firstLineChars="0"/>
        <w:rPr>
          <w:rFonts w:ascii="黑体" w:hAnsi="宋体" w:eastAsia="黑体"/>
          <w:b/>
          <w:bCs/>
          <w:sz w:val="28"/>
          <w:szCs w:val="28"/>
        </w:rPr>
      </w:pPr>
      <w:r>
        <w:rPr>
          <w:rFonts w:hint="eastAsia" w:ascii="黑体" w:hAnsi="宋体" w:eastAsia="黑体"/>
          <w:b/>
          <w:bCs/>
          <w:sz w:val="28"/>
          <w:szCs w:val="28"/>
        </w:rPr>
        <w:t>总结与比较</w:t>
      </w:r>
    </w:p>
    <w:p>
      <w:pPr>
        <w:spacing w:line="360" w:lineRule="auto"/>
        <w:ind w:firstLine="480" w:firstLineChars="200"/>
        <w:rPr>
          <w:rFonts w:ascii="宋体" w:hAnsi="宋体"/>
          <w:sz w:val="24"/>
        </w:rPr>
      </w:pPr>
      <w:r>
        <w:rPr>
          <w:rFonts w:hint="eastAsia" w:ascii="宋体" w:hAnsi="宋体"/>
          <w:sz w:val="24"/>
        </w:rPr>
        <w:t>本章对海绵城市评价体系的概念进行梳理。首先列举了不同国家例如美国和澳大利亚的评价体系，美国的三个评价指标各有优劣，</w:t>
      </w:r>
      <w:r>
        <w:rPr>
          <w:rFonts w:ascii="宋体" w:hAnsi="宋体"/>
          <w:sz w:val="24"/>
        </w:rPr>
        <w:t>从度量项来看，LEED-ND注重环境绩效，并未强调经济和社会绩效；</w:t>
      </w:r>
      <w:r>
        <w:rPr>
          <w:rFonts w:hint="eastAsia" w:ascii="宋体" w:hAnsi="宋体"/>
          <w:sz w:val="24"/>
        </w:rPr>
        <w:t>SITES非常重视环境和一些社会服务，但不考虑经济影响</w:t>
      </w:r>
      <w:r>
        <w:rPr>
          <w:rFonts w:ascii="宋体" w:hAnsi="宋体"/>
          <w:sz w:val="24"/>
        </w:rPr>
        <w:t>；</w:t>
      </w:r>
      <w:r>
        <w:rPr>
          <w:rFonts w:hint="eastAsia" w:ascii="宋体" w:hAnsi="宋体"/>
          <w:sz w:val="24"/>
        </w:rPr>
        <w:t>LPS是目前唯一一个从环境、经济和社会三个角度全面评估景观性能的系统</w:t>
      </w:r>
      <w:r>
        <w:rPr>
          <w:rFonts w:ascii="宋体" w:hAnsi="宋体"/>
          <w:sz w:val="24"/>
        </w:rPr>
        <w:t>。</w:t>
      </w:r>
      <w:r>
        <w:rPr>
          <w:rFonts w:hint="eastAsia" w:ascii="宋体" w:hAnsi="宋体"/>
          <w:sz w:val="24"/>
        </w:rPr>
        <w:t>澳大利亚的评价体系就相对一目了然，根据指标确定低影响开发的等级。</w:t>
      </w:r>
    </w:p>
    <w:p>
      <w:pPr>
        <w:spacing w:line="360" w:lineRule="auto"/>
        <w:ind w:firstLine="480" w:firstLineChars="200"/>
        <w:rPr>
          <w:rFonts w:ascii="宋体" w:hAnsi="宋体"/>
          <w:sz w:val="24"/>
        </w:rPr>
      </w:pPr>
      <w:r>
        <w:rPr>
          <w:rFonts w:hint="eastAsia" w:ascii="宋体" w:hAnsi="宋体"/>
          <w:sz w:val="24"/>
        </w:rPr>
        <w:t>2018年住建部批准的《海绵城市建设评价标准》，首次印证海绵城市评价制度是为了适应本国国情而建订的，统一和标准化使海绵城市的等级非常重要。因此，随后介绍了中国海绵城市的评价指标。现有的海绵城市评价实施方法多用容积法和模型法。閤超成为我们提供了第三种评价方法——综合评价法。此方法根据各地不同的地域特征，得到的数据和结果也迥然不同，适用于作不同地域的比较。</w:t>
      </w:r>
    </w:p>
    <w:p>
      <w:pPr>
        <w:widowControl/>
        <w:jc w:val="left"/>
        <w:rPr>
          <w:rFonts w:ascii="黑体" w:hAnsi="宋体" w:eastAsia="黑体"/>
          <w:b/>
          <w:bCs/>
          <w:sz w:val="30"/>
        </w:rPr>
      </w:pPr>
      <w:r>
        <w:rPr>
          <w:rFonts w:ascii="黑体" w:hAnsi="宋体" w:eastAsia="黑体"/>
          <w:b/>
          <w:bCs/>
          <w:sz w:val="30"/>
        </w:rPr>
        <w:br w:type="page"/>
      </w:r>
    </w:p>
    <w:p>
      <w:pPr>
        <w:pStyle w:val="24"/>
        <w:numPr>
          <w:ilvl w:val="0"/>
          <w:numId w:val="1"/>
        </w:numPr>
        <w:spacing w:beforeLines="50" w:afterLines="50" w:line="360" w:lineRule="auto"/>
        <w:ind w:left="448" w:hanging="448" w:firstLineChars="0"/>
        <w:rPr>
          <w:rFonts w:ascii="黑体" w:hAnsi="宋体" w:eastAsia="黑体"/>
          <w:b/>
          <w:bCs/>
          <w:sz w:val="30"/>
        </w:rPr>
      </w:pPr>
      <w:r>
        <w:rPr>
          <w:rFonts w:hint="eastAsia" w:ascii="黑体" w:eastAsia="黑体"/>
          <w:b/>
          <w:bCs/>
          <w:sz w:val="30"/>
        </w:rPr>
        <w:t>项目概况</w:t>
      </w:r>
    </w:p>
    <w:p>
      <w:pPr>
        <w:pStyle w:val="24"/>
        <w:numPr>
          <w:ilvl w:val="1"/>
          <w:numId w:val="1"/>
        </w:numPr>
        <w:spacing w:line="360" w:lineRule="auto"/>
        <w:ind w:firstLineChars="0"/>
        <w:rPr>
          <w:rFonts w:ascii="黑体" w:hAnsi="宋体" w:eastAsia="黑体"/>
          <w:b/>
          <w:bCs/>
          <w:sz w:val="30"/>
        </w:rPr>
      </w:pPr>
      <w:r>
        <w:rPr>
          <w:rFonts w:hint="eastAsia" w:ascii="黑体" w:hAnsi="宋体" w:eastAsia="黑体"/>
          <w:b/>
          <w:bCs/>
          <w:sz w:val="28"/>
        </w:rPr>
        <w:t>南京市气候概况</w:t>
      </w:r>
    </w:p>
    <w:p>
      <w:pPr>
        <w:spacing w:line="360" w:lineRule="auto"/>
        <w:ind w:firstLine="420" w:firstLineChars="175"/>
        <w:jc w:val="left"/>
        <w:rPr>
          <w:rFonts w:ascii="宋体" w:hAnsi="宋体" w:cs="楷体_GB2312"/>
          <w:bCs/>
          <w:sz w:val="24"/>
        </w:rPr>
      </w:pPr>
      <w:r>
        <w:rPr>
          <w:rFonts w:hint="eastAsia" w:ascii="宋体" w:hAnsi="宋体" w:cs="楷体_GB2312"/>
          <w:bCs/>
          <w:sz w:val="24"/>
        </w:rPr>
        <w:t>本项目所在地南京是亚热带季风气候，四个季节气候分明，多雨。年平均气温为16.1℃，1月最低气温为3.1℃到3.℃，最高气温的7月温度为27.9℃～28.7℃，年平均日照时间在1730到2100小时之间，一年中</w:t>
      </w:r>
      <w:r>
        <w:fldChar w:fldCharType="begin"/>
      </w:r>
      <w:r>
        <w:instrText xml:space="preserve"> HYPERLINK "https://baike.baidu.com/item/%E7%BB%88%E9%9C%9C/2101409" \t "https://baike.baidu.com/item/%E6%97%A0%E9%9C%9C%E6%9C%9F/_blank" </w:instrText>
      </w:r>
      <w:r>
        <w:fldChar w:fldCharType="separate"/>
      </w:r>
      <w:r>
        <w:rPr>
          <w:rFonts w:ascii="宋体" w:hAnsi="宋体" w:cs="楷体_GB2312"/>
          <w:bCs/>
          <w:sz w:val="24"/>
        </w:rPr>
        <w:t>终霜</w:t>
      </w:r>
      <w:r>
        <w:rPr>
          <w:rFonts w:ascii="宋体" w:hAnsi="宋体" w:cs="楷体_GB2312"/>
          <w:bCs/>
          <w:sz w:val="24"/>
        </w:rPr>
        <w:fldChar w:fldCharType="end"/>
      </w:r>
      <w:r>
        <w:rPr>
          <w:rFonts w:ascii="宋体" w:hAnsi="宋体" w:cs="楷体_GB2312"/>
          <w:bCs/>
          <w:sz w:val="24"/>
        </w:rPr>
        <w:t>后至</w:t>
      </w:r>
      <w:r>
        <w:fldChar w:fldCharType="begin"/>
      </w:r>
      <w:r>
        <w:instrText xml:space="preserve"> HYPERLINK "https://baike.baidu.com/item/%E5%88%9D%E9%9C%9C/2101358" \t "https://baike.baidu.com/item/%E6%97%A0%E9%9C%9C%E6%9C%9F/_blank" </w:instrText>
      </w:r>
      <w:r>
        <w:fldChar w:fldCharType="separate"/>
      </w:r>
      <w:r>
        <w:rPr>
          <w:rFonts w:ascii="宋体" w:hAnsi="宋体" w:cs="楷体_GB2312"/>
          <w:bCs/>
          <w:sz w:val="24"/>
        </w:rPr>
        <w:t>初霜</w:t>
      </w:r>
      <w:r>
        <w:rPr>
          <w:rFonts w:ascii="宋体" w:hAnsi="宋体" w:cs="楷体_GB2312"/>
          <w:bCs/>
          <w:sz w:val="24"/>
        </w:rPr>
        <w:fldChar w:fldCharType="end"/>
      </w:r>
      <w:r>
        <w:rPr>
          <w:rFonts w:ascii="宋体" w:hAnsi="宋体" w:cs="楷体_GB2312"/>
          <w:bCs/>
          <w:sz w:val="24"/>
        </w:rPr>
        <w:t>前</w:t>
      </w:r>
      <w:r>
        <w:rPr>
          <w:rFonts w:hint="eastAsia" w:ascii="宋体" w:hAnsi="宋体" w:cs="楷体_GB2312"/>
          <w:bCs/>
          <w:sz w:val="24"/>
        </w:rPr>
        <w:t>时间长达220天。</w:t>
      </w:r>
    </w:p>
    <w:p>
      <w:pPr>
        <w:spacing w:line="360" w:lineRule="auto"/>
        <w:ind w:firstLine="420" w:firstLineChars="175"/>
        <w:jc w:val="left"/>
        <w:rPr>
          <w:rFonts w:ascii="宋体" w:hAnsi="宋体" w:cs="楷体_GB2312"/>
          <w:bCs/>
          <w:sz w:val="24"/>
        </w:rPr>
      </w:pPr>
      <w:r>
        <w:rPr>
          <w:rFonts w:hint="eastAsia" w:ascii="宋体" w:hAnsi="宋体" w:cs="楷体_GB2312"/>
          <w:bCs/>
          <w:sz w:val="24"/>
        </w:rPr>
        <w:t>南京市雨量充足，1954年年平均降雨量2285mm，1978年年最小降雨量88mm，年平均降雨量142天。由于降水和时间分布不平衡，强降水集中在4月至7月，强降雨主要积聚在为6月至7月，梅雨季节降水量占全年降雨分量的29.7%。根据南京站2004-2013年的数据，南京市年平均蒸发量为1312mm。</w:t>
      </w:r>
    </w:p>
    <w:p>
      <w:pPr>
        <w:pStyle w:val="24"/>
        <w:numPr>
          <w:ilvl w:val="1"/>
          <w:numId w:val="1"/>
        </w:numPr>
        <w:spacing w:line="360" w:lineRule="auto"/>
        <w:ind w:firstLineChars="0"/>
        <w:rPr>
          <w:rFonts w:ascii="黑体" w:hAnsi="宋体" w:eastAsia="黑体"/>
          <w:b/>
          <w:bCs/>
          <w:sz w:val="30"/>
        </w:rPr>
      </w:pPr>
      <w:r>
        <w:rPr>
          <w:rFonts w:hint="eastAsia" w:ascii="黑体" w:hAnsi="宋体" w:eastAsia="黑体"/>
          <w:b/>
          <w:bCs/>
          <w:sz w:val="28"/>
        </w:rPr>
        <w:t>工程概况</w:t>
      </w:r>
    </w:p>
    <w:p>
      <w:pPr>
        <w:snapToGrid w:val="0"/>
        <w:spacing w:line="360" w:lineRule="auto"/>
        <w:ind w:firstLine="480" w:firstLineChars="200"/>
        <w:jc w:val="left"/>
        <w:rPr>
          <w:rFonts w:ascii="宋体" w:hAnsi="宋体" w:cs="楷体_GB2312"/>
          <w:bCs/>
          <w:sz w:val="24"/>
        </w:rPr>
      </w:pPr>
      <w:r>
        <w:rPr>
          <w:rFonts w:hint="eastAsia" w:ascii="宋体" w:hAnsi="宋体" w:cs="楷体_GB2312"/>
          <w:bCs/>
          <w:sz w:val="24"/>
        </w:rPr>
        <w:t>本项目所在地为南京玄武区。北起傅厚岗，南至洪武北路，全长约2km。其中本人负责建模计算的部分为傅厚岗到北京东路段。等级为次干路，现状道路宽度24-35m，本次在有条件的位置均按规划红线宽26-42m实施。管线综合横断面图高楼门段见图3.1。</w:t>
      </w:r>
      <w:r>
        <w:rPr>
          <w:rFonts w:ascii="宋体" w:hAnsi="宋体" w:cs="楷体_GB2312"/>
          <w:bCs/>
          <w:sz w:val="24"/>
        </w:rPr>
        <w:drawing>
          <wp:inline distT="0" distB="0" distL="0" distR="0">
            <wp:extent cx="5353050" cy="4087495"/>
            <wp:effectExtent l="0" t="0" r="0" b="8255"/>
            <wp:docPr id="6" name="图片 5" descr="V9~MLP{O$MQYD41`[VBYW2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V9~MLP{O$MQYD41`[VBYW2T.png"/>
                    <pic:cNvPicPr>
                      <a:picLocks noChangeAspect="1"/>
                    </pic:cNvPicPr>
                  </pic:nvPicPr>
                  <pic:blipFill>
                    <a:blip r:embed="rId10" cstate="print"/>
                    <a:srcRect l="2540" t="553" r="7502"/>
                    <a:stretch>
                      <a:fillRect/>
                    </a:stretch>
                  </pic:blipFill>
                  <pic:spPr>
                    <a:xfrm>
                      <a:off x="0" y="0"/>
                      <a:ext cx="5353050" cy="4087495"/>
                    </a:xfrm>
                    <a:prstGeom prst="rect">
                      <a:avLst/>
                    </a:prstGeom>
                  </pic:spPr>
                </pic:pic>
              </a:graphicData>
            </a:graphic>
          </wp:inline>
        </w:drawing>
      </w:r>
    </w:p>
    <w:p>
      <w:pPr>
        <w:snapToGrid w:val="0"/>
        <w:spacing w:line="360" w:lineRule="auto"/>
        <w:ind w:firstLine="420" w:firstLineChars="200"/>
        <w:jc w:val="center"/>
        <w:rPr>
          <w:rFonts w:ascii="宋体" w:hAnsi="宋体" w:cs="楷体_GB2312"/>
          <w:bCs/>
          <w:sz w:val="24"/>
        </w:rPr>
      </w:pPr>
      <w:r>
        <w:rPr>
          <w:rFonts w:hint="eastAsia" w:ascii="宋体" w:hAnsi="宋体"/>
          <w:szCs w:val="21"/>
        </w:rPr>
        <w:t>图3.1  管线综合横断面图高楼门段（单位：m）</w:t>
      </w:r>
    </w:p>
    <w:p>
      <w:pPr>
        <w:snapToGrid w:val="0"/>
        <w:spacing w:line="360" w:lineRule="auto"/>
        <w:ind w:firstLine="480" w:firstLineChars="200"/>
        <w:rPr>
          <w:rFonts w:cs="楷体_GB2312"/>
          <w:bCs/>
          <w:sz w:val="24"/>
        </w:rPr>
      </w:pPr>
      <w:r>
        <w:rPr>
          <w:rFonts w:hint="eastAsia" w:cs="楷体_GB2312"/>
          <w:bCs/>
          <w:sz w:val="24"/>
        </w:rPr>
        <w:t>道路沿线相交道路有傅厚岗厚载巷、峨眉路、大钟亭路（峨眉路）、北京东路。翻新完成后的道路结构及所用材料见表3.1。</w:t>
      </w:r>
    </w:p>
    <w:p>
      <w:pPr>
        <w:snapToGrid w:val="0"/>
        <w:spacing w:line="360" w:lineRule="auto"/>
        <w:ind w:firstLine="420" w:firstLineChars="200"/>
        <w:jc w:val="center"/>
        <w:rPr>
          <w:rFonts w:asciiTheme="minorEastAsia" w:hAnsiTheme="minorEastAsia" w:eastAsiaTheme="minorEastAsia" w:cstheme="minorEastAsia"/>
          <w:bCs/>
          <w:szCs w:val="21"/>
        </w:rPr>
      </w:pPr>
      <w:r>
        <w:rPr>
          <w:rFonts w:hint="eastAsia" w:asciiTheme="minorEastAsia" w:hAnsiTheme="minorEastAsia" w:eastAsiaTheme="minorEastAsia" w:cstheme="minorEastAsia"/>
          <w:bCs/>
          <w:szCs w:val="21"/>
        </w:rPr>
        <w:t>表3.1  翻新后道路结构层及材料</w:t>
      </w:r>
    </w:p>
    <w:tbl>
      <w:tblPr>
        <w:tblStyle w:val="17"/>
        <w:tblW w:w="7130"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61"/>
        <w:gridCol w:w="48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9" w:hRule="atLeast"/>
          <w:jc w:val="center"/>
        </w:trPr>
        <w:tc>
          <w:tcPr>
            <w:tcW w:w="2261" w:type="dxa"/>
            <w:tcBorders>
              <w:top w:val="single" w:color="000000" w:sz="18" w:space="0"/>
              <w:bottom w:val="single" w:color="000000" w:sz="8" w:space="0"/>
              <w:tl2br w:val="nil"/>
              <w:tr2bl w:val="nil"/>
            </w:tcBorders>
            <w:shd w:val="clear" w:color="auto" w:fill="FFFFFF"/>
          </w:tcPr>
          <w:p>
            <w:pPr>
              <w:snapToGrid w:val="0"/>
              <w:spacing w:line="500" w:lineRule="exact"/>
              <w:ind w:right="105" w:rightChars="50"/>
              <w:jc w:val="center"/>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结构层</w:t>
            </w:r>
          </w:p>
        </w:tc>
        <w:tc>
          <w:tcPr>
            <w:tcW w:w="4869" w:type="dxa"/>
            <w:tcBorders>
              <w:top w:val="single" w:color="000000" w:sz="18" w:space="0"/>
              <w:bottom w:val="single" w:color="000000" w:sz="8" w:space="0"/>
              <w:tl2br w:val="nil"/>
              <w:tr2bl w:val="nil"/>
            </w:tcBorders>
            <w:shd w:val="clear" w:color="auto" w:fill="FFFFFF"/>
          </w:tcPr>
          <w:p>
            <w:pPr>
              <w:snapToGrid w:val="0"/>
              <w:spacing w:line="500" w:lineRule="exact"/>
              <w:ind w:right="105" w:rightChars="50"/>
              <w:jc w:val="center"/>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所用材料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948" w:hRule="atLeast"/>
          <w:jc w:val="center"/>
        </w:trPr>
        <w:tc>
          <w:tcPr>
            <w:tcW w:w="2261" w:type="dxa"/>
            <w:tcBorders>
              <w:top w:val="single" w:color="000000" w:sz="8" w:space="0"/>
              <w:tl2br w:val="nil"/>
              <w:tr2bl w:val="nil"/>
            </w:tcBorders>
            <w:shd w:val="clear" w:color="auto" w:fill="FFFFFF"/>
          </w:tcPr>
          <w:p>
            <w:pPr>
              <w:snapToGrid w:val="0"/>
              <w:spacing w:line="500" w:lineRule="exact"/>
              <w:ind w:right="105" w:rightChars="50"/>
              <w:jc w:val="center"/>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机动车道路面结构</w:t>
            </w:r>
          </w:p>
        </w:tc>
        <w:tc>
          <w:tcPr>
            <w:tcW w:w="4869" w:type="dxa"/>
            <w:tcBorders>
              <w:top w:val="single" w:color="000000" w:sz="8" w:space="0"/>
              <w:tl2br w:val="nil"/>
              <w:tr2bl w:val="nil"/>
            </w:tcBorders>
            <w:shd w:val="clear" w:color="auto" w:fill="FFFFFF"/>
          </w:tcPr>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2cm AC-13C（玄武岩SBS改性，就地热再生）</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4cm AC-13C（石灰岩 普通沥青）</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8cmAC-25C（石灰岩 普通沥青）</w:t>
            </w:r>
          </w:p>
          <w:p>
            <w:pPr>
              <w:tabs>
                <w:tab w:val="left" w:pos="2310"/>
              </w:tabs>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0.6cm透层油</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34cm水泥稳定碎石（3.5MPa，水泥4.5%）</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原沥青上面层就地热再生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653" w:hRule="atLeast"/>
          <w:jc w:val="center"/>
        </w:trPr>
        <w:tc>
          <w:tcPr>
            <w:tcW w:w="2261" w:type="dxa"/>
            <w:tcBorders>
              <w:tl2br w:val="nil"/>
              <w:tr2bl w:val="nil"/>
            </w:tcBorders>
            <w:shd w:val="clear" w:color="auto" w:fill="FFFFFF"/>
          </w:tcPr>
          <w:p>
            <w:pPr>
              <w:snapToGrid w:val="0"/>
              <w:spacing w:line="500" w:lineRule="exact"/>
              <w:ind w:right="105" w:rightChars="50"/>
              <w:jc w:val="center"/>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非机动车道路面结构</w:t>
            </w:r>
          </w:p>
        </w:tc>
        <w:tc>
          <w:tcPr>
            <w:tcW w:w="4869" w:type="dxa"/>
            <w:tcBorders>
              <w:tl2br w:val="nil"/>
              <w:tr2bl w:val="nil"/>
            </w:tcBorders>
            <w:shd w:val="clear" w:color="auto" w:fill="FFFFFF"/>
          </w:tcPr>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4cm AC-13C（石灰岩 普通沥青）</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6cmAC-20C（石灰岩 普通沥青）</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0.6cm透层油</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20cm水泥稳定碎石（2.5MPa，水泥3.5%）</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20cm 12%灰土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15" w:hRule="atLeast"/>
          <w:jc w:val="center"/>
        </w:trPr>
        <w:tc>
          <w:tcPr>
            <w:tcW w:w="2261" w:type="dxa"/>
            <w:tcBorders>
              <w:bottom w:val="single" w:color="000000" w:sz="18" w:space="0"/>
              <w:tl2br w:val="nil"/>
              <w:tr2bl w:val="nil"/>
            </w:tcBorders>
            <w:shd w:val="clear" w:color="auto" w:fill="FFFFFF"/>
          </w:tcPr>
          <w:p>
            <w:pPr>
              <w:snapToGrid w:val="0"/>
              <w:spacing w:line="500" w:lineRule="exact"/>
              <w:ind w:right="105" w:rightChars="50"/>
              <w:jc w:val="center"/>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人行道路面结构</w:t>
            </w:r>
          </w:p>
        </w:tc>
        <w:tc>
          <w:tcPr>
            <w:tcW w:w="4869" w:type="dxa"/>
            <w:tcBorders>
              <w:bottom w:val="single" w:color="000000" w:sz="18" w:space="0"/>
              <w:tl2br w:val="nil"/>
              <w:tr2bl w:val="nil"/>
            </w:tcBorders>
            <w:shd w:val="clear" w:color="auto" w:fill="FFFFFF"/>
          </w:tcPr>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7cm彩色透水混凝土</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8cm透水混凝土</w:t>
            </w:r>
          </w:p>
          <w:p>
            <w:pPr>
              <w:snapToGrid w:val="0"/>
              <w:spacing w:line="240" w:lineRule="atLeast"/>
              <w:ind w:right="105" w:rightChars="50"/>
              <w:rPr>
                <w:rFonts w:asciiTheme="minorEastAsia" w:hAnsiTheme="minorEastAsia" w:eastAsiaTheme="minorEastAsia" w:cstheme="minorEastAsia"/>
                <w:bCs/>
                <w:color w:val="000000"/>
                <w:szCs w:val="21"/>
              </w:rPr>
            </w:pPr>
            <w:r>
              <w:rPr>
                <w:rFonts w:hint="eastAsia" w:asciiTheme="minorEastAsia" w:hAnsiTheme="minorEastAsia" w:eastAsiaTheme="minorEastAsia" w:cstheme="minorEastAsia"/>
                <w:bCs/>
                <w:color w:val="000000"/>
                <w:szCs w:val="21"/>
              </w:rPr>
              <w:t>15cm级配碎石</w:t>
            </w:r>
          </w:p>
        </w:tc>
      </w:tr>
    </w:tbl>
    <w:p>
      <w:pPr>
        <w:snapToGrid w:val="0"/>
        <w:spacing w:line="360" w:lineRule="auto"/>
        <w:ind w:firstLine="480" w:firstLineChars="200"/>
        <w:rPr>
          <w:color w:val="000000"/>
        </w:rPr>
      </w:pPr>
      <w:r>
        <w:rPr>
          <w:rFonts w:cs="楷体_GB2312"/>
          <w:bCs/>
          <w:sz w:val="24"/>
        </w:rPr>
        <w:t>傅厚岗段埋有d600雨水管，水由</w:t>
      </w:r>
      <w:r>
        <w:rPr>
          <w:rFonts w:hint="eastAsia" w:cs="楷体_GB2312"/>
          <w:bCs/>
          <w:sz w:val="24"/>
        </w:rPr>
        <w:t>北</w:t>
      </w:r>
      <w:r>
        <w:rPr>
          <w:rFonts w:cs="楷体_GB2312"/>
          <w:bCs/>
          <w:sz w:val="24"/>
        </w:rPr>
        <w:t>向</w:t>
      </w:r>
      <w:r>
        <w:rPr>
          <w:rFonts w:hint="eastAsia" w:cs="楷体_GB2312"/>
          <w:bCs/>
          <w:sz w:val="24"/>
        </w:rPr>
        <w:t>南</w:t>
      </w:r>
      <w:r>
        <w:rPr>
          <w:rFonts w:cs="楷体_GB2312"/>
          <w:bCs/>
          <w:sz w:val="24"/>
        </w:rPr>
        <w:t>排入百子亭；厚载巷至大钟亭段埋有d600雨水管，雨水由北向南排入安仁街现状雨水管</w:t>
      </w:r>
      <w:r>
        <w:rPr>
          <w:rFonts w:hint="eastAsia" w:cs="楷体_GB2312"/>
          <w:bCs/>
          <w:sz w:val="24"/>
        </w:rPr>
        <w:t>。</w:t>
      </w:r>
      <w:r>
        <w:rPr>
          <w:rFonts w:ascii="宋体" w:hAnsi="宋体" w:cs="宋体"/>
          <w:color w:val="000000"/>
          <w:sz w:val="24"/>
        </w:rPr>
        <w:t>安仁街段埋有d600</w:t>
      </w:r>
      <w:r>
        <w:rPr>
          <w:rFonts w:hint="eastAsia" w:ascii="宋体" w:hAnsi="宋体" w:cs="宋体"/>
          <w:color w:val="000000"/>
          <w:sz w:val="24"/>
        </w:rPr>
        <w:t>-d1000雨水管,雨水由北向南排入北京东路现状雨水管。</w:t>
      </w:r>
    </w:p>
    <w:p>
      <w:pPr>
        <w:pStyle w:val="24"/>
        <w:numPr>
          <w:ilvl w:val="1"/>
          <w:numId w:val="1"/>
        </w:numPr>
        <w:spacing w:line="360" w:lineRule="auto"/>
        <w:ind w:firstLineChars="0"/>
        <w:rPr>
          <w:rFonts w:ascii="黑体" w:hAnsi="宋体" w:eastAsia="黑体"/>
          <w:b/>
          <w:bCs/>
          <w:sz w:val="30"/>
        </w:rPr>
      </w:pPr>
      <w:r>
        <w:rPr>
          <w:rFonts w:hint="eastAsia" w:ascii="黑体" w:hAnsi="宋体" w:eastAsia="黑体"/>
          <w:b/>
          <w:bCs/>
          <w:sz w:val="28"/>
        </w:rPr>
        <w:t>南京市关于海绵城市的规定</w:t>
      </w:r>
    </w:p>
    <w:p>
      <w:pPr>
        <w:spacing w:line="360" w:lineRule="auto"/>
        <w:ind w:firstLine="480" w:firstLineChars="200"/>
        <w:rPr>
          <w:rFonts w:ascii="宋体" w:hAnsi="宋体"/>
          <w:sz w:val="24"/>
        </w:rPr>
      </w:pPr>
      <w:r>
        <w:rPr>
          <w:rFonts w:hint="eastAsia" w:ascii="宋体" w:hAnsi="宋体"/>
          <w:sz w:val="24"/>
        </w:rPr>
        <w:t>南京申办2016年第二批国家试点海绵城市。虽然最后的结果是并未成功，但在这几年更加积极响应国家关于海绵城市建设的政策，先后推出《南京市海绵城市规划建设指南》、《南京市城市总体规划（2011—2030年）》、《南京市海绵城市建设试点城市实施方案》（2015—2017）、《南京市海绵城市试点建设三年实施计划》（2015—2017）等文件。在《南京市海绵城市规划建设指南》中，确定了南京海绵城市建设的一年径流排放量控制率、南京市污染源控制目标等指标。加快海绵城市建设，为未来扩大海绵城市区域打下良好基础。</w:t>
      </w:r>
    </w:p>
    <w:p>
      <w:pPr>
        <w:spacing w:line="360" w:lineRule="auto"/>
        <w:ind w:firstLine="480" w:firstLineChars="200"/>
        <w:rPr>
          <w:rFonts w:ascii="宋体" w:hAnsi="宋体"/>
          <w:sz w:val="24"/>
        </w:rPr>
      </w:pPr>
      <w:r>
        <w:rPr>
          <w:rFonts w:hint="eastAsia" w:ascii="宋体" w:hAnsi="宋体"/>
          <w:sz w:val="24"/>
        </w:rPr>
        <w:t>参照图3.1可知本次工程所在地为南京在“</w:t>
      </w:r>
      <w:r>
        <w:rPr>
          <w:rFonts w:hint="eastAsia" w:ascii="宋体" w:hAnsi="宋体"/>
          <w:sz w:val="24"/>
          <w:lang w:val="zh-CN"/>
        </w:rPr>
        <w:t>我国年径流总量控制率分区图</w:t>
      </w:r>
      <w:r>
        <w:rPr>
          <w:rFonts w:hint="eastAsia" w:ascii="宋体" w:hAnsi="宋体"/>
          <w:sz w:val="24"/>
        </w:rPr>
        <w:t>”中属于Ⅲ区，即南京的控制排放降水总量占总降水量的75%~85% ，降水中污染物去除量需占降水总量的50%以上。而根据《南京市海绵城市规划建设指南》中“控规单元规划管控指标一览表”(表3.1)，工程具体所在玄武区控制排放降水总量占总降水量的70%，降水中污染物去除量占降水总量最少应满足45%。</w:t>
      </w:r>
    </w:p>
    <w:p>
      <w:pPr>
        <w:spacing w:line="360" w:lineRule="auto"/>
        <w:jc w:val="center"/>
        <w:rPr>
          <w:rFonts w:ascii="宋体" w:hAnsi="宋体"/>
          <w:sz w:val="24"/>
        </w:rPr>
      </w:pPr>
      <w:r>
        <w:rPr>
          <w:rFonts w:hint="eastAsia" w:ascii="宋体" w:hAnsi="宋体"/>
          <w:szCs w:val="21"/>
        </w:rPr>
        <w:t>表3.</w:t>
      </w:r>
      <w:r>
        <w:rPr>
          <w:rFonts w:hint="eastAsia" w:ascii="宋体" w:hAnsi="宋体"/>
          <w:szCs w:val="21"/>
          <w:lang w:val="en-US" w:eastAsia="zh-CN"/>
        </w:rPr>
        <w:t>2</w:t>
      </w:r>
      <w:r>
        <w:rPr>
          <w:rFonts w:hint="eastAsia" w:ascii="宋体" w:hAnsi="宋体"/>
          <w:szCs w:val="21"/>
        </w:rPr>
        <w:t xml:space="preserve">  控规单元规划管控指标一览表</w:t>
      </w:r>
    </w:p>
    <w:tbl>
      <w:tblPr>
        <w:tblStyle w:val="23"/>
        <w:tblW w:w="8721" w:type="dxa"/>
        <w:tblInd w:w="0" w:type="dxa"/>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shd w:val="clear" w:color="auto" w:fill="FFFFFF" w:themeFill="background1"/>
        <w:tblLayout w:type="fixed"/>
        <w:tblCellMar>
          <w:top w:w="0" w:type="dxa"/>
          <w:left w:w="108" w:type="dxa"/>
          <w:bottom w:w="0" w:type="dxa"/>
          <w:right w:w="108" w:type="dxa"/>
        </w:tblCellMar>
      </w:tblPr>
      <w:tblGrid>
        <w:gridCol w:w="1217"/>
        <w:gridCol w:w="1416"/>
        <w:gridCol w:w="1217"/>
        <w:gridCol w:w="1217"/>
        <w:gridCol w:w="1218"/>
        <w:gridCol w:w="1218"/>
        <w:gridCol w:w="1218"/>
      </w:tblGrid>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shd w:val="clear" w:color="auto" w:fill="FFFFFF" w:themeFill="background1"/>
          <w:tblLayout w:type="fixed"/>
          <w:tblCellMar>
            <w:top w:w="0" w:type="dxa"/>
            <w:left w:w="108" w:type="dxa"/>
            <w:bottom w:w="0" w:type="dxa"/>
            <w:right w:w="108" w:type="dxa"/>
          </w:tblCellMar>
        </w:tblPrEx>
        <w:tc>
          <w:tcPr>
            <w:tcW w:w="1217" w:type="dxa"/>
            <w:tcBorders>
              <w:top w:val="single" w:color="auto" w:sz="18" w:space="0"/>
              <w:left w:val="nil"/>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二级</w:t>
            </w:r>
          </w:p>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分区</w:t>
            </w:r>
          </w:p>
        </w:tc>
        <w:tc>
          <w:tcPr>
            <w:tcW w:w="1416"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控规</w:t>
            </w:r>
          </w:p>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单元</w:t>
            </w:r>
          </w:p>
        </w:tc>
        <w:tc>
          <w:tcPr>
            <w:tcW w:w="1217"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面积（公顷）</w:t>
            </w:r>
          </w:p>
        </w:tc>
        <w:tc>
          <w:tcPr>
            <w:tcW w:w="1217"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年径流总量控制率</w:t>
            </w:r>
          </w:p>
        </w:tc>
        <w:tc>
          <w:tcPr>
            <w:tcW w:w="1218"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面源污染削减率</w:t>
            </w:r>
          </w:p>
        </w:tc>
        <w:tc>
          <w:tcPr>
            <w:tcW w:w="1218"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峰值流量径流系数</w:t>
            </w:r>
          </w:p>
        </w:tc>
        <w:tc>
          <w:tcPr>
            <w:tcW w:w="1218" w:type="dxa"/>
            <w:tcBorders>
              <w:top w:val="single" w:color="auto" w:sz="18" w:space="0"/>
              <w:bottom w:val="single" w:color="000000" w:themeColor="text1" w:sz="8" w:space="0"/>
              <w:right w:val="nil"/>
              <w:insideH w:val="single" w:sz="8" w:space="0"/>
              <w:insideV w:val="nil"/>
            </w:tcBorders>
            <w:shd w:val="clear" w:color="auto" w:fill="FFFFFF" w:themeFill="background1"/>
            <w:vAlign w:val="center"/>
          </w:tcPr>
          <w:p>
            <w:pPr>
              <w:spacing w:before="0" w:after="0" w:line="240" w:lineRule="auto"/>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雨水利用替代城市供水比例</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restart"/>
            <w:tcBorders>
              <w:left w:val="nil"/>
              <w:right w:val="nil"/>
            </w:tcBorders>
            <w:shd w:val="clear" w:color="auto" w:fill="FFFFFF" w:themeFill="background1"/>
            <w:vAlign w:val="center"/>
          </w:tcPr>
          <w:p>
            <w:pPr>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城北</w:t>
            </w:r>
          </w:p>
          <w:p>
            <w:pPr>
              <w:jc w:val="center"/>
              <w:rPr>
                <w:rFonts w:ascii="宋体" w:hAnsi="宋体"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排涝</w:t>
            </w:r>
          </w:p>
          <w:p>
            <w:pPr>
              <w:jc w:val="center"/>
              <w:rPr>
                <w:rFonts w:asciiTheme="minorHAnsi" w:hAnsiTheme="minorHAnsi" w:eastAsiaTheme="minorEastAsia" w:cstheme="minorBidi"/>
                <w:b/>
                <w:bCs/>
                <w:color w:val="000000" w:themeColor="text1" w:themeShade="BF"/>
                <w:szCs w:val="21"/>
              </w:rPr>
            </w:pPr>
            <w:r>
              <w:rPr>
                <w:rFonts w:hint="eastAsia" w:ascii="宋体" w:hAnsi="宋体" w:eastAsiaTheme="minorEastAsia" w:cstheme="minorBidi"/>
                <w:b w:val="0"/>
                <w:bCs w:val="0"/>
                <w:color w:val="000000" w:themeColor="text1" w:themeShade="BF"/>
                <w:szCs w:val="21"/>
              </w:rPr>
              <w:t>片</w:t>
            </w:r>
          </w:p>
        </w:tc>
        <w:tc>
          <w:tcPr>
            <w:tcW w:w="1416"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NJZCb010</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1201</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75%</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0.50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NJZCb020</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886.47</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75%</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50%</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0.45</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tcBorders>
              <w:left w:val="nil"/>
              <w:right w:val="nil"/>
            </w:tcBorders>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NJZCb030</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1671.5</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45%</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0.60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NJZCb040</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1622.3</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70%</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45%</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0.60</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tcBorders>
              <w:left w:val="nil"/>
              <w:right w:val="nil"/>
            </w:tcBorders>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NJZCb050</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1093.8</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75%</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0.50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NJZCb010-1</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1498.5</w:t>
            </w:r>
          </w:p>
        </w:tc>
        <w:tc>
          <w:tcPr>
            <w:tcW w:w="1217"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70%</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45%</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0.60</w:t>
            </w:r>
          </w:p>
        </w:tc>
        <w:tc>
          <w:tcPr>
            <w:tcW w:w="1218" w:type="dxa"/>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tcBorders>
              <w:left w:val="nil"/>
              <w:right w:val="nil"/>
            </w:tcBorders>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NJZCb020-2</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155.68</w:t>
            </w:r>
          </w:p>
        </w:tc>
        <w:tc>
          <w:tcPr>
            <w:tcW w:w="1217"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70%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45%</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0.60</w:t>
            </w:r>
          </w:p>
        </w:tc>
        <w:tc>
          <w:tcPr>
            <w:tcW w:w="1218" w:type="dxa"/>
            <w:tcBorders>
              <w:right w:val="nil"/>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r>
        <w:tblPrEx>
          <w:tblBorders>
            <w:top w:val="single" w:color="000000" w:themeColor="text1" w:sz="8" w:space="0"/>
            <w:left w:val="none" w:color="auto" w:sz="0" w:space="0"/>
            <w:bottom w:val="single" w:color="000000" w:themeColor="text1"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7" w:hRule="exact"/>
        </w:trPr>
        <w:tc>
          <w:tcPr>
            <w:tcW w:w="1217" w:type="dxa"/>
            <w:vMerge w:val="continue"/>
            <w:tcBorders>
              <w:bottom w:val="single" w:color="auto" w:sz="18" w:space="0"/>
            </w:tcBorders>
            <w:shd w:val="clear" w:color="auto" w:fill="FFFFFF" w:themeFill="background1"/>
            <w:vAlign w:val="center"/>
          </w:tcPr>
          <w:p>
            <w:pPr>
              <w:jc w:val="center"/>
              <w:rPr>
                <w:rFonts w:asciiTheme="minorHAnsi" w:hAnsiTheme="minorHAnsi" w:eastAsiaTheme="minorEastAsia" w:cstheme="minorBidi"/>
                <w:b/>
                <w:bCs/>
                <w:color w:val="000000" w:themeColor="text1" w:themeShade="BF"/>
                <w:szCs w:val="21"/>
              </w:rPr>
            </w:pPr>
          </w:p>
        </w:tc>
        <w:tc>
          <w:tcPr>
            <w:tcW w:w="1416"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CBKB-1</w:t>
            </w:r>
          </w:p>
        </w:tc>
        <w:tc>
          <w:tcPr>
            <w:tcW w:w="1217"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1562.7</w:t>
            </w:r>
          </w:p>
        </w:tc>
        <w:tc>
          <w:tcPr>
            <w:tcW w:w="1217"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85%</w:t>
            </w:r>
          </w:p>
        </w:tc>
        <w:tc>
          <w:tcPr>
            <w:tcW w:w="1218"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60%</w:t>
            </w:r>
          </w:p>
        </w:tc>
        <w:tc>
          <w:tcPr>
            <w:tcW w:w="1218"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0.40</w:t>
            </w:r>
          </w:p>
        </w:tc>
        <w:tc>
          <w:tcPr>
            <w:tcW w:w="1218" w:type="dxa"/>
            <w:tcBorders>
              <w:bottom w:val="single" w:color="auto" w:sz="18" w:space="0"/>
            </w:tcBorders>
            <w:shd w:val="clear" w:color="auto" w:fill="FFFFFF" w:themeFill="background1"/>
            <w:vAlign w:val="center"/>
          </w:tcPr>
          <w:p>
            <w:pPr>
              <w:jc w:val="center"/>
              <w:rPr>
                <w:rFonts w:ascii="宋体" w:hAnsi="宋体" w:eastAsiaTheme="minorEastAsia" w:cstheme="minorBidi"/>
                <w:color w:val="000000" w:themeColor="text1" w:themeShade="BF"/>
                <w:szCs w:val="21"/>
              </w:rPr>
            </w:pPr>
            <w:r>
              <w:rPr>
                <w:rFonts w:hint="eastAsia" w:ascii="宋体" w:hAnsi="宋体" w:eastAsiaTheme="minorEastAsia" w:cstheme="minorBidi"/>
                <w:color w:val="000000" w:themeColor="text1" w:themeShade="BF"/>
                <w:szCs w:val="21"/>
              </w:rPr>
              <w:t>5%</w:t>
            </w:r>
          </w:p>
        </w:tc>
      </w:tr>
    </w:tbl>
    <w:p>
      <w:pPr>
        <w:pStyle w:val="24"/>
        <w:spacing w:beforeLines="50" w:afterLines="50" w:line="360" w:lineRule="auto"/>
        <w:ind w:left="450" w:firstLine="0" w:firstLineChars="0"/>
        <w:rPr>
          <w:rFonts w:ascii="黑体" w:eastAsia="黑体"/>
          <w:b/>
          <w:bCs/>
          <w:sz w:val="30"/>
        </w:rPr>
      </w:pPr>
    </w:p>
    <w:p>
      <w:pPr>
        <w:widowControl/>
        <w:jc w:val="left"/>
        <w:rPr>
          <w:rFonts w:ascii="黑体" w:eastAsia="黑体"/>
          <w:b/>
          <w:bCs/>
          <w:sz w:val="30"/>
        </w:rPr>
      </w:pPr>
      <w:r>
        <w:rPr>
          <w:rFonts w:ascii="黑体" w:eastAsia="黑体"/>
          <w:b/>
          <w:bCs/>
          <w:sz w:val="30"/>
        </w:rPr>
        <w:br w:type="page"/>
      </w:r>
    </w:p>
    <w:p>
      <w:pPr>
        <w:pStyle w:val="24"/>
        <w:numPr>
          <w:ilvl w:val="0"/>
          <w:numId w:val="1"/>
        </w:numPr>
        <w:spacing w:beforeLines="50" w:afterLines="50" w:line="360" w:lineRule="auto"/>
        <w:ind w:firstLineChars="0"/>
        <w:rPr>
          <w:rFonts w:ascii="黑体" w:hAnsi="宋体" w:eastAsia="黑体"/>
          <w:b/>
          <w:bCs/>
          <w:sz w:val="30"/>
        </w:rPr>
      </w:pPr>
      <w:r>
        <w:rPr>
          <w:rFonts w:hint="eastAsia" w:ascii="黑体" w:eastAsia="黑体"/>
          <w:b/>
          <w:bCs/>
          <w:sz w:val="30"/>
        </w:rPr>
        <w:t>基于鸿业软件的海绵城市评价</w:t>
      </w:r>
    </w:p>
    <w:p>
      <w:pPr>
        <w:spacing w:line="360" w:lineRule="auto"/>
        <w:ind w:firstLine="480" w:firstLineChars="200"/>
        <w:rPr>
          <w:rFonts w:ascii="宋体" w:hAnsi="宋体"/>
          <w:sz w:val="24"/>
        </w:rPr>
      </w:pPr>
      <w:r>
        <w:rPr>
          <w:rFonts w:hint="eastAsia" w:ascii="宋体" w:hAnsi="宋体"/>
          <w:sz w:val="24"/>
        </w:rPr>
        <w:t>鸿业暴雨排水的模拟系统是基于几个技术规范文件，例如</w:t>
      </w:r>
      <w:r>
        <w:rPr>
          <w:rFonts w:hint="eastAsia" w:ascii="宋体" w:hAnsi="宋体"/>
          <w:sz w:val="24"/>
          <w:lang w:val="zh-CN"/>
        </w:rPr>
        <w:t>《室外排水设计规范》、《海绵城市建设技术指南》、《海绵城市专项规划编制暂行规定》</w:t>
      </w:r>
      <w:r>
        <w:rPr>
          <w:rFonts w:hint="eastAsia" w:ascii="宋体" w:hAnsi="宋体"/>
          <w:sz w:val="24"/>
        </w:rPr>
        <w:t>等。它可以利用、发展、设计、分析，以传统的模拟程式来模拟。也可运用设计模拟。对于全局的规则、规章、维修细节。除了防洪设计之外，还可以模拟管道连接，整合湖泊及河川系统，并制定内部防洪计划。以下为利用鸿业软件评价丹凤街工程时主要步骤，图片均为软件生成。</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传统下垫面管理</w:t>
      </w:r>
    </w:p>
    <w:p>
      <w:pPr>
        <w:pStyle w:val="24"/>
        <w:spacing w:line="360" w:lineRule="auto"/>
        <w:ind w:firstLineChars="175"/>
        <w:jc w:val="left"/>
        <w:rPr>
          <w:rFonts w:ascii="宋体" w:hAnsi="宋体" w:cs="楷体_GB2312"/>
          <w:bCs/>
          <w:sz w:val="24"/>
        </w:rPr>
      </w:pPr>
      <w:r>
        <w:rPr>
          <w:rFonts w:hint="eastAsia" w:ascii="宋体" w:hAnsi="宋体" w:cs="楷体_GB2312"/>
          <w:bCs/>
          <w:sz w:val="24"/>
        </w:rPr>
        <w:t>毋庸置疑，传统下垫面管理是所有准备工作的第一步。由图4.1可知，布置的下垫面类型主要有四个分别为道路广场、可透水道路、绿地和水面。透水铺装、植草沟、绿化带和生态树池这些低影响发展设施可以与其一一对应。</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3101975" cy="3910965"/>
            <wp:effectExtent l="0" t="0" r="3175" b="13335"/>
            <wp:docPr id="15" name="图片 15" descr="1.自动布置传统下垫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自动布置传统下垫面"/>
                    <pic:cNvPicPr>
                      <a:picLocks noChangeAspect="1"/>
                    </pic:cNvPicPr>
                  </pic:nvPicPr>
                  <pic:blipFill>
                    <a:blip r:embed="rId11" cstate="print"/>
                    <a:stretch>
                      <a:fillRect/>
                    </a:stretch>
                  </pic:blipFill>
                  <pic:spPr>
                    <a:xfrm>
                      <a:off x="0" y="0"/>
                      <a:ext cx="3101975" cy="3910965"/>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图4.1  自动布置传统下垫面</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编辑污染物参数</w:t>
      </w:r>
    </w:p>
    <w:p>
      <w:pPr>
        <w:pStyle w:val="24"/>
        <w:spacing w:line="360" w:lineRule="auto"/>
        <w:ind w:firstLine="480"/>
        <w:jc w:val="left"/>
        <w:rPr>
          <w:rFonts w:ascii="宋体" w:hAnsi="宋体" w:cs="楷体_GB2312"/>
          <w:bCs/>
          <w:sz w:val="24"/>
        </w:rPr>
      </w:pPr>
      <w:r>
        <w:rPr>
          <w:rFonts w:hint="eastAsia" w:ascii="宋体" w:hAnsi="宋体" w:cs="楷体_GB2312"/>
          <w:bCs/>
          <w:sz w:val="24"/>
        </w:rPr>
        <w:t>从图4.1可以看出污染物参数由雨水浓度、地下水浓度、DRII浓度等参数组成，本文着重考虑雨水浓度。由于南京市的雨水浓度并没有官方数据，所以采用杭州市的雨水浓度245mg/L作为参考。</w:t>
      </w:r>
      <w:r>
        <w:rPr>
          <w:rFonts w:ascii="宋体" w:hAnsi="宋体" w:cs="楷体_GB2312"/>
          <w:bCs/>
          <w:sz w:val="24"/>
        </w:rPr>
        <w:t xml:space="preserve"> </w:t>
      </w:r>
    </w:p>
    <w:p>
      <w:pPr>
        <w:spacing w:line="360" w:lineRule="auto"/>
        <w:jc w:val="center"/>
        <w:rPr>
          <w:rFonts w:ascii="宋体" w:hAnsi="宋体" w:cs="楷体_GB2312"/>
          <w:bCs/>
          <w:sz w:val="24"/>
        </w:rPr>
      </w:pPr>
      <w:r>
        <w:rPr>
          <w:rFonts w:hint="eastAsia" w:ascii="宋体" w:hAnsi="宋体" w:cs="楷体_GB2312"/>
          <w:bCs/>
          <w:sz w:val="24"/>
        </w:rPr>
        <w:drawing>
          <wp:inline distT="0" distB="0" distL="0" distR="0">
            <wp:extent cx="2103755" cy="3475990"/>
            <wp:effectExtent l="0" t="0" r="10795" b="10160"/>
            <wp:docPr id="7" name="图片 6" descr="2.编辑污染物参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编辑污染物参数.PNG"/>
                    <pic:cNvPicPr>
                      <a:picLocks noChangeAspect="1"/>
                    </pic:cNvPicPr>
                  </pic:nvPicPr>
                  <pic:blipFill>
                    <a:blip r:embed="rId12" cstate="print"/>
                    <a:srcRect l="40170" t="15988" r="39503" b="16974"/>
                    <a:stretch>
                      <a:fillRect/>
                    </a:stretch>
                  </pic:blipFill>
                  <pic:spPr>
                    <a:xfrm>
                      <a:off x="0" y="0"/>
                      <a:ext cx="2103755" cy="3475990"/>
                    </a:xfrm>
                    <a:prstGeom prst="rect">
                      <a:avLst/>
                    </a:prstGeom>
                  </pic:spPr>
                </pic:pic>
              </a:graphicData>
            </a:graphic>
          </wp:inline>
        </w:drawing>
      </w:r>
    </w:p>
    <w:p>
      <w:pPr>
        <w:spacing w:line="360" w:lineRule="auto"/>
        <w:jc w:val="center"/>
        <w:rPr>
          <w:rFonts w:ascii="宋体" w:hAnsi="宋体" w:cs="楷体_GB2312"/>
          <w:bCs/>
          <w:szCs w:val="21"/>
        </w:rPr>
      </w:pPr>
      <w:r>
        <w:rPr>
          <w:rFonts w:hint="eastAsia" w:ascii="宋体" w:hAnsi="宋体" w:cs="楷体_GB2312"/>
          <w:bCs/>
          <w:szCs w:val="21"/>
        </w:rPr>
        <w:t>图4.2  编辑污染物参数</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暴雨强度公式管理</w:t>
      </w:r>
    </w:p>
    <w:p>
      <w:pPr>
        <w:pStyle w:val="24"/>
        <w:spacing w:line="360" w:lineRule="auto"/>
        <w:ind w:firstLineChars="175"/>
        <w:jc w:val="left"/>
        <w:rPr>
          <w:rFonts w:ascii="宋体" w:hAnsi="宋体" w:cs="楷体_GB2312"/>
          <w:bCs/>
          <w:sz w:val="24"/>
        </w:rPr>
      </w:pPr>
      <w:r>
        <w:rPr>
          <w:rFonts w:hint="eastAsia" w:ascii="宋体" w:hAnsi="宋体" w:cs="楷体_GB2312"/>
          <w:bCs/>
          <w:sz w:val="24"/>
        </w:rPr>
        <w:t>由图4.3可知，暴雨强度公式及计算结果会随着地区的不同而产生变化。这就意味着在建设海绵城市时要充分考虑到地域差异。根据南京市常用的强降雨公式计算出暴雨时的强度，P代表的是重现期，降雨历时则用t表示。</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4633595" cy="3355340"/>
            <wp:effectExtent l="0" t="0" r="14605" b="16510"/>
            <wp:docPr id="3" name="图片 3" descr="3.暴雨强度公式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暴雨强度公式管理"/>
                    <pic:cNvPicPr>
                      <a:picLocks noChangeAspect="1"/>
                    </pic:cNvPicPr>
                  </pic:nvPicPr>
                  <pic:blipFill>
                    <a:blip r:embed="rId13" cstate="print"/>
                    <a:srcRect l="24584" t="15020" r="24188" b="14830"/>
                    <a:stretch>
                      <a:fillRect/>
                    </a:stretch>
                  </pic:blipFill>
                  <pic:spPr>
                    <a:xfrm>
                      <a:off x="0" y="0"/>
                      <a:ext cx="4633595" cy="3355340"/>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图4.3  暴雨强度公式管理</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城市年径流总量控制率管理</w:t>
      </w:r>
    </w:p>
    <w:p>
      <w:pPr>
        <w:spacing w:line="360" w:lineRule="auto"/>
        <w:ind w:firstLine="480" w:firstLineChars="200"/>
        <w:jc w:val="left"/>
        <w:rPr>
          <w:rFonts w:ascii="宋体" w:hAnsi="宋体" w:cs="楷体_GB2312"/>
          <w:bCs/>
          <w:sz w:val="24"/>
        </w:rPr>
      </w:pPr>
      <w:r>
        <w:rPr>
          <w:rFonts w:hint="eastAsia" w:ascii="宋体" w:hAnsi="宋体" w:cs="楷体_GB2312"/>
          <w:bCs/>
          <w:sz w:val="24"/>
        </w:rPr>
        <w:t>由本文第二章可知，年径流总量控制率是我国海绵城市评价体系中最重要的指标之一，在雨天可以有效增加地下水的供给量，同时还可以通过LID措施对雨水径流进行阻隔和净化。根据第三章，南京市文件规定的年径流控制率和雨量调节，所以可以采取软件里南京市的默认值。</w:t>
      </w:r>
    </w:p>
    <w:p>
      <w:pPr>
        <w:spacing w:line="360" w:lineRule="auto"/>
        <w:jc w:val="center"/>
        <w:rPr>
          <w:rFonts w:ascii="宋体" w:hAnsi="宋体" w:cs="楷体_GB2312"/>
          <w:bCs/>
          <w:sz w:val="24"/>
        </w:rPr>
      </w:pPr>
      <w:r>
        <w:rPr>
          <w:rFonts w:hint="eastAsia" w:ascii="宋体" w:hAnsi="宋体" w:cs="楷体_GB2312"/>
          <w:bCs/>
          <w:sz w:val="24"/>
        </w:rPr>
        <w:drawing>
          <wp:inline distT="0" distB="0" distL="0" distR="0">
            <wp:extent cx="3422650" cy="3184525"/>
            <wp:effectExtent l="0" t="0" r="6350" b="15875"/>
            <wp:docPr id="9" name="图片 8" descr="4.城市年径流控制率管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4.城市年径流控制率管理.PNG"/>
                    <pic:cNvPicPr>
                      <a:picLocks noChangeAspect="1"/>
                    </pic:cNvPicPr>
                  </pic:nvPicPr>
                  <pic:blipFill>
                    <a:blip r:embed="rId14" cstate="print"/>
                    <a:srcRect l="33556" t="22285" r="33737" b="21086"/>
                    <a:stretch>
                      <a:fillRect/>
                    </a:stretch>
                  </pic:blipFill>
                  <pic:spPr>
                    <a:xfrm>
                      <a:off x="0" y="0"/>
                      <a:ext cx="3422650" cy="3184525"/>
                    </a:xfrm>
                    <a:prstGeom prst="rect">
                      <a:avLst/>
                    </a:prstGeom>
                  </pic:spPr>
                </pic:pic>
              </a:graphicData>
            </a:graphic>
          </wp:inline>
        </w:drawing>
      </w:r>
    </w:p>
    <w:p>
      <w:pPr>
        <w:spacing w:line="360" w:lineRule="auto"/>
        <w:jc w:val="center"/>
        <w:rPr>
          <w:rFonts w:ascii="宋体" w:hAnsi="宋体" w:cs="楷体_GB2312"/>
          <w:bCs/>
          <w:szCs w:val="21"/>
        </w:rPr>
      </w:pPr>
      <w:r>
        <w:rPr>
          <w:rFonts w:hint="eastAsia" w:ascii="宋体" w:hAnsi="宋体" w:cs="楷体_GB2312"/>
          <w:bCs/>
          <w:szCs w:val="21"/>
        </w:rPr>
        <w:t>图4.4  城市年径流总量控制率管理</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雨量数据管理</w:t>
      </w:r>
    </w:p>
    <w:p>
      <w:pPr>
        <w:pStyle w:val="24"/>
        <w:spacing w:line="360" w:lineRule="auto"/>
        <w:ind w:firstLine="480"/>
        <w:rPr>
          <w:rFonts w:ascii="宋体" w:hAnsi="宋体" w:cs="楷体_GB2312"/>
          <w:bCs/>
          <w:sz w:val="24"/>
        </w:rPr>
      </w:pPr>
      <w:r>
        <w:rPr>
          <w:rFonts w:hint="eastAsia" w:ascii="宋体" w:hAnsi="宋体" w:cs="宋体"/>
          <w:sz w:val="24"/>
        </w:rPr>
        <w:t>在鸿业软件里有两种方式可以建立暴雨模型，一种是导入自己设置的统计文件，另一种是用软件的暴雨公式生成雨量。官方计算的暴雨强度支持芝加哥暴雨模型和三角雨类型。这里主要采用芝加哥雨型、计算方法为根据降雨量计算。相当于之前模拟中得到的年径流控制率为75%，对应设计降水量为24.6mm</w:t>
      </w:r>
      <w:r>
        <w:rPr>
          <w:rFonts w:hint="eastAsia" w:ascii="宋体" w:hAnsi="宋体" w:cs="楷体_GB2312"/>
          <w:bCs/>
          <w:sz w:val="24"/>
        </w:rPr>
        <w:t>，降雨模拟的其他参数为雨峰值0.4，暴雨历时2小时，5分钟的时间间隔，然后可以得出各时间段的降雨量，接着可以做下一步计算。</w:t>
      </w:r>
    </w:p>
    <w:p>
      <w:pPr>
        <w:pStyle w:val="24"/>
        <w:ind w:firstLine="480"/>
        <w:jc w:val="center"/>
        <w:rPr>
          <w:rFonts w:ascii="宋体" w:hAnsi="宋体" w:cs="楷体_GB2312"/>
          <w:bCs/>
          <w:sz w:val="24"/>
        </w:rPr>
      </w:pPr>
      <w:r>
        <w:rPr>
          <w:rFonts w:hint="eastAsia" w:ascii="宋体" w:hAnsi="宋体" w:cs="楷体_GB2312"/>
          <w:bCs/>
          <w:sz w:val="24"/>
        </w:rPr>
        <w:drawing>
          <wp:inline distT="0" distB="0" distL="0" distR="0">
            <wp:extent cx="4660265" cy="3190240"/>
            <wp:effectExtent l="0" t="0" r="6985" b="10160"/>
            <wp:docPr id="10" name="图片 9" descr="5.雨量数据管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5.雨量数据管理.PNG"/>
                    <pic:cNvPicPr>
                      <a:picLocks noChangeAspect="1"/>
                    </pic:cNvPicPr>
                  </pic:nvPicPr>
                  <pic:blipFill>
                    <a:blip r:embed="rId15" cstate="print"/>
                    <a:srcRect l="13036" t="15135" r="32210" b="15470"/>
                    <a:stretch>
                      <a:fillRect/>
                    </a:stretch>
                  </pic:blipFill>
                  <pic:spPr>
                    <a:xfrm>
                      <a:off x="0" y="0"/>
                      <a:ext cx="4660265" cy="3190240"/>
                    </a:xfrm>
                    <a:prstGeom prst="rect">
                      <a:avLst/>
                    </a:prstGeom>
                  </pic:spPr>
                </pic:pic>
              </a:graphicData>
            </a:graphic>
          </wp:inline>
        </w:drawing>
      </w:r>
    </w:p>
    <w:p>
      <w:pPr>
        <w:spacing w:line="360" w:lineRule="auto"/>
        <w:jc w:val="center"/>
        <w:rPr>
          <w:rFonts w:ascii="宋体" w:hAnsi="宋体" w:cs="楷体_GB2312"/>
          <w:bCs/>
          <w:szCs w:val="21"/>
        </w:rPr>
      </w:pPr>
      <w:r>
        <w:rPr>
          <w:rFonts w:hint="eastAsia" w:ascii="宋体" w:hAnsi="宋体" w:cs="楷体_GB2312"/>
          <w:bCs/>
          <w:szCs w:val="21"/>
        </w:rPr>
        <w:t>图4.5  雨量数据管理</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创建雨水管道</w:t>
      </w:r>
    </w:p>
    <w:p>
      <w:pPr>
        <w:snapToGrid w:val="0"/>
        <w:spacing w:line="360" w:lineRule="auto"/>
        <w:ind w:firstLine="480" w:firstLineChars="200"/>
        <w:rPr>
          <w:rFonts w:ascii="宋体" w:hAnsi="宋体" w:cs="宋体"/>
          <w:bCs/>
          <w:sz w:val="24"/>
        </w:rPr>
      </w:pPr>
      <w:r>
        <w:rPr>
          <w:rFonts w:hint="eastAsia" w:ascii="宋体" w:hAnsi="宋体" w:cs="楷体_GB2312"/>
          <w:bCs/>
          <w:sz w:val="24"/>
        </w:rPr>
        <w:t xml:space="preserve"> 在软件里布置管道和设置管道节点是用于内涝分析。此次创建的雨水管道是</w:t>
      </w:r>
      <w:r>
        <w:rPr>
          <w:rFonts w:hint="eastAsia" w:ascii="宋体" w:hAnsi="宋体" w:cs="宋体"/>
          <w:bCs/>
          <w:sz w:val="24"/>
        </w:rPr>
        <w:t>Ⅱ级钢筋混凝土管，符合本工程的设计要求。根据图纸方案的设计要求，将管道扩展属性设置为600mm直径承插式橡胶圈接口的圆形井。其中</w:t>
      </w:r>
      <w:r>
        <w:rPr>
          <w:rFonts w:cs="楷体_GB2312"/>
          <w:bCs/>
          <w:sz w:val="24"/>
        </w:rPr>
        <w:t>傅厚岗段</w:t>
      </w:r>
      <w:r>
        <w:rPr>
          <w:rFonts w:hint="eastAsia" w:cs="楷体_GB2312"/>
          <w:bCs/>
          <w:sz w:val="24"/>
        </w:rPr>
        <w:t>和</w:t>
      </w:r>
      <w:r>
        <w:rPr>
          <w:rFonts w:cs="楷体_GB2312"/>
          <w:bCs/>
          <w:sz w:val="24"/>
        </w:rPr>
        <w:t>厚载巷至大钟亭段埋有</w:t>
      </w:r>
      <w:r>
        <w:rPr>
          <w:rFonts w:hint="eastAsia" w:ascii="宋体" w:hAnsi="宋体" w:cs="宋体"/>
          <w:bCs/>
          <w:sz w:val="24"/>
        </w:rPr>
        <w:t>d600</w:t>
      </w:r>
      <w:r>
        <w:rPr>
          <w:rFonts w:cs="楷体_GB2312"/>
          <w:bCs/>
          <w:sz w:val="24"/>
        </w:rPr>
        <w:t>雨水管，</w:t>
      </w:r>
      <w:r>
        <w:rPr>
          <w:rFonts w:ascii="宋体" w:hAnsi="宋体" w:cs="宋体"/>
          <w:color w:val="000000"/>
          <w:sz w:val="24"/>
        </w:rPr>
        <w:t>安仁街段埋有</w:t>
      </w:r>
      <w:r>
        <w:rPr>
          <w:rFonts w:hint="eastAsia" w:ascii="宋体" w:hAnsi="宋体" w:cs="宋体"/>
          <w:bCs/>
          <w:sz w:val="24"/>
        </w:rPr>
        <w:t>d600-d1000</w:t>
      </w:r>
      <w:r>
        <w:rPr>
          <w:rFonts w:hint="eastAsia" w:ascii="宋体" w:hAnsi="宋体" w:cs="宋体"/>
          <w:color w:val="000000"/>
          <w:sz w:val="24"/>
        </w:rPr>
        <w:t>雨水管。</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3025140" cy="3342640"/>
            <wp:effectExtent l="0" t="0" r="3810" b="10160"/>
            <wp:docPr id="13" name="图片 13" descr="布置管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布置管道"/>
                    <pic:cNvPicPr>
                      <a:picLocks noChangeAspect="1"/>
                    </pic:cNvPicPr>
                  </pic:nvPicPr>
                  <pic:blipFill>
                    <a:blip r:embed="rId16" cstate="print"/>
                    <a:stretch>
                      <a:fillRect/>
                    </a:stretch>
                  </pic:blipFill>
                  <pic:spPr>
                    <a:xfrm>
                      <a:off x="0" y="0"/>
                      <a:ext cx="3025140" cy="3342640"/>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图4.6  创建雨水管道</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绘制雨量计</w:t>
      </w:r>
    </w:p>
    <w:p>
      <w:pPr>
        <w:pStyle w:val="24"/>
        <w:spacing w:line="360" w:lineRule="auto"/>
        <w:ind w:firstLineChars="175"/>
        <w:jc w:val="left"/>
        <w:rPr>
          <w:rFonts w:ascii="宋体" w:hAnsi="宋体" w:cs="楷体_GB2312"/>
          <w:bCs/>
          <w:sz w:val="24"/>
        </w:rPr>
      </w:pPr>
      <w:r>
        <w:rPr>
          <w:rFonts w:hint="eastAsia" w:ascii="宋体" w:hAnsi="宋体" w:cs="楷体_GB2312"/>
          <w:bCs/>
          <w:sz w:val="24"/>
        </w:rPr>
        <w:t xml:space="preserve"> 一段时间以来，雨量计一直被用来测量一个地区的降水量。如图4.7，每隔5分钟将模拟一次降水，历时两小时得出计算雨量。从结果可以看到此次模拟降雨的总降雨量为24.599mm，平均降雨为0.205mm/5min。</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1691640" cy="3048000"/>
            <wp:effectExtent l="0" t="0" r="3810" b="0"/>
            <wp:docPr id="22" name="图片 22" descr="绘制雨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绘制雨量计"/>
                    <pic:cNvPicPr>
                      <a:picLocks noChangeAspect="1"/>
                    </pic:cNvPicPr>
                  </pic:nvPicPr>
                  <pic:blipFill>
                    <a:blip r:embed="rId17" cstate="print"/>
                    <a:stretch>
                      <a:fillRect/>
                    </a:stretch>
                  </pic:blipFill>
                  <pic:spPr>
                    <a:xfrm>
                      <a:off x="0" y="0"/>
                      <a:ext cx="1691640" cy="3048000"/>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图4.7  绘制雨量计</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暴雨模拟计算</w:t>
      </w:r>
    </w:p>
    <w:p>
      <w:pPr>
        <w:pStyle w:val="24"/>
        <w:spacing w:line="360" w:lineRule="auto"/>
        <w:ind w:firstLineChars="175"/>
        <w:jc w:val="left"/>
        <w:rPr>
          <w:rFonts w:ascii="宋体" w:hAnsi="宋体" w:cs="楷体_GB2312"/>
          <w:bCs/>
          <w:sz w:val="24"/>
        </w:rPr>
      </w:pPr>
      <w:r>
        <w:rPr>
          <w:rFonts w:hint="eastAsia" w:ascii="宋体" w:hAnsi="宋体" w:cs="楷体_GB2312"/>
          <w:bCs/>
          <w:sz w:val="24"/>
        </w:rPr>
        <w:t>传统意义上的城市强降雨和城市积水问题属于水动力研究的范畴。我们将以普通的暴雨模拟为参考，通过适当的改进，使其适应城区的实际情况。图4.8就是暴雨模拟计算后自动生成的结果。主要生成初始LID蓄水量、总降水、蒸发损失、渗入损失等数据。</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0" distR="0">
            <wp:extent cx="4474210" cy="2367915"/>
            <wp:effectExtent l="0" t="0" r="2540" b="13335"/>
            <wp:docPr id="11" name="图片 10" descr="8.暴雨模拟计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8.暴雨模拟计算.PNG"/>
                    <pic:cNvPicPr>
                      <a:picLocks noChangeAspect="1"/>
                    </pic:cNvPicPr>
                  </pic:nvPicPr>
                  <pic:blipFill>
                    <a:blip r:embed="rId18" cstate="print"/>
                    <a:stretch>
                      <a:fillRect/>
                    </a:stretch>
                  </pic:blipFill>
                  <pic:spPr>
                    <a:xfrm>
                      <a:off x="0" y="0"/>
                      <a:ext cx="4474210" cy="2367915"/>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图4.8  暴雨模拟计算</w:t>
      </w:r>
    </w:p>
    <w:p>
      <w:pPr>
        <w:pStyle w:val="24"/>
        <w:numPr>
          <w:ilvl w:val="0"/>
          <w:numId w:val="8"/>
        </w:numPr>
        <w:spacing w:line="360" w:lineRule="auto"/>
        <w:ind w:firstLineChars="0"/>
        <w:jc w:val="left"/>
        <w:rPr>
          <w:rFonts w:ascii="宋体" w:hAnsi="宋体" w:cs="楷体_GB2312"/>
          <w:bCs/>
          <w:sz w:val="24"/>
        </w:rPr>
      </w:pPr>
      <w:r>
        <w:rPr>
          <w:rFonts w:hint="eastAsia" w:ascii="宋体" w:hAnsi="宋体" w:cs="楷体_GB2312"/>
          <w:bCs/>
          <w:sz w:val="24"/>
        </w:rPr>
        <w:t>容积法绘制雨量数据表</w:t>
      </w:r>
    </w:p>
    <w:p>
      <w:pPr>
        <w:pStyle w:val="24"/>
        <w:spacing w:line="360" w:lineRule="auto"/>
        <w:ind w:firstLineChars="175"/>
        <w:jc w:val="left"/>
        <w:rPr>
          <w:rFonts w:ascii="宋体" w:hAnsi="宋体" w:cs="楷体_GB2312"/>
          <w:bCs/>
          <w:sz w:val="24"/>
        </w:rPr>
      </w:pPr>
      <w:r>
        <w:rPr>
          <w:rFonts w:hint="eastAsia" w:ascii="宋体" w:hAnsi="宋体" w:cs="楷体_GB2312"/>
          <w:bCs/>
          <w:sz w:val="24"/>
        </w:rPr>
        <w:t xml:space="preserve"> 图4.9是生成的南京雨量数据图。横轴为已经过的时间，纵轴为雨量。可以从这幅图里看出，正常降水呈“少-多-少”的趋势。大概在降雨进行到一半的时间时，雨量是最多的。     </w:t>
      </w:r>
      <w:r>
        <w:rPr>
          <w:rFonts w:hint="eastAsia" w:ascii="宋体" w:hAnsi="宋体" w:cs="楷体_GB2312"/>
          <w:bCs/>
          <w:sz w:val="24"/>
        </w:rPr>
        <w:drawing>
          <wp:inline distT="0" distB="0" distL="114300" distR="114300">
            <wp:extent cx="5615305" cy="2160905"/>
            <wp:effectExtent l="0" t="0" r="4445" b="10795"/>
            <wp:docPr id="28" name="图片 28" descr="Q1N_R_SMC42]_132}3%KE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Q1N_R_SMC42]_132}3%KECQ"/>
                    <pic:cNvPicPr>
                      <a:picLocks noChangeAspect="1"/>
                    </pic:cNvPicPr>
                  </pic:nvPicPr>
                  <pic:blipFill>
                    <a:blip r:embed="rId19" cstate="print"/>
                    <a:stretch>
                      <a:fillRect/>
                    </a:stretch>
                  </pic:blipFill>
                  <pic:spPr>
                    <a:xfrm>
                      <a:off x="0" y="0"/>
                      <a:ext cx="5615305" cy="2160905"/>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图4.9  容积法绘制雨量数据表</w:t>
      </w:r>
    </w:p>
    <w:p>
      <w:pPr>
        <w:pStyle w:val="24"/>
        <w:numPr>
          <w:ilvl w:val="0"/>
          <w:numId w:val="8"/>
        </w:numPr>
        <w:spacing w:line="360" w:lineRule="auto"/>
        <w:ind w:left="638" w:hanging="638" w:hangingChars="266"/>
        <w:jc w:val="left"/>
        <w:rPr>
          <w:rFonts w:ascii="宋体" w:hAnsi="宋体" w:cs="楷体_GB2312"/>
          <w:bCs/>
          <w:sz w:val="24"/>
        </w:rPr>
      </w:pPr>
      <w:r>
        <w:rPr>
          <w:rFonts w:hint="eastAsia" w:ascii="宋体" w:hAnsi="宋体" w:cs="楷体_GB2312"/>
          <w:bCs/>
          <w:sz w:val="24"/>
        </w:rPr>
        <w:t>容积法自动生成自评表</w:t>
      </w:r>
    </w:p>
    <w:p>
      <w:pPr>
        <w:pStyle w:val="24"/>
        <w:spacing w:line="360" w:lineRule="auto"/>
        <w:ind w:firstLineChars="175"/>
        <w:jc w:val="left"/>
        <w:rPr>
          <w:rFonts w:ascii="宋体" w:hAnsi="宋体" w:cs="楷体_GB2312"/>
          <w:bCs/>
          <w:sz w:val="24"/>
        </w:rPr>
      </w:pPr>
      <w:r>
        <w:rPr>
          <w:rFonts w:hint="eastAsia" w:ascii="宋体" w:hAnsi="宋体" w:cs="楷体_GB2312"/>
          <w:bCs/>
          <w:sz w:val="24"/>
        </w:rPr>
        <w:t xml:space="preserve"> 图4.10是采用容积法生成的自评表。参照深圳-整个小区的自评表样式，所用的参数都是之前通过模拟得到的传统开发方案和低影响开发方案。将这些参数与本论文所用到的工程参数进行比较，得到容积法的自评表。</w:t>
      </w:r>
    </w:p>
    <w:p>
      <w:pPr>
        <w:pStyle w:val="24"/>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3032760" cy="3579495"/>
            <wp:effectExtent l="0" t="0" r="15240" b="1905"/>
            <wp:docPr id="23" name="图片 23" descr="容积法自动生成自评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容积法自动生成自评表"/>
                    <pic:cNvPicPr>
                      <a:picLocks noChangeAspect="1"/>
                    </pic:cNvPicPr>
                  </pic:nvPicPr>
                  <pic:blipFill>
                    <a:blip r:embed="rId20" cstate="print"/>
                    <a:stretch>
                      <a:fillRect/>
                    </a:stretch>
                  </pic:blipFill>
                  <pic:spPr>
                    <a:xfrm>
                      <a:off x="0" y="0"/>
                      <a:ext cx="3032760" cy="3579495"/>
                    </a:xfrm>
                    <a:prstGeom prst="rect">
                      <a:avLst/>
                    </a:prstGeom>
                  </pic:spPr>
                </pic:pic>
              </a:graphicData>
            </a:graphic>
          </wp:inline>
        </w:drawing>
      </w:r>
    </w:p>
    <w:p>
      <w:pPr>
        <w:pStyle w:val="24"/>
        <w:spacing w:line="360" w:lineRule="auto"/>
        <w:ind w:firstLine="0" w:firstLineChars="0"/>
        <w:jc w:val="center"/>
        <w:rPr>
          <w:rFonts w:ascii="宋体" w:hAnsi="宋体" w:cs="楷体_GB2312"/>
          <w:bCs/>
          <w:sz w:val="24"/>
        </w:rPr>
      </w:pPr>
      <w:r>
        <w:rPr>
          <w:rFonts w:hint="eastAsia" w:ascii="宋体" w:hAnsi="宋体" w:cs="楷体_GB2312"/>
          <w:bCs/>
          <w:szCs w:val="21"/>
        </w:rPr>
        <w:t>图4.10  容积法自动生成自评表</w:t>
      </w:r>
    </w:p>
    <w:p>
      <w:pPr>
        <w:pStyle w:val="24"/>
        <w:numPr>
          <w:ilvl w:val="0"/>
          <w:numId w:val="8"/>
        </w:numPr>
        <w:tabs>
          <w:tab w:val="left" w:pos="640"/>
        </w:tabs>
        <w:spacing w:line="360" w:lineRule="auto"/>
        <w:ind w:left="640" w:hanging="640" w:firstLineChars="0"/>
        <w:jc w:val="left"/>
        <w:rPr>
          <w:rFonts w:ascii="宋体" w:hAnsi="宋体" w:cs="楷体_GB2312"/>
          <w:bCs/>
          <w:sz w:val="24"/>
        </w:rPr>
      </w:pPr>
      <w:r>
        <w:rPr>
          <w:rFonts w:hint="eastAsia" w:ascii="宋体" w:hAnsi="宋体" w:cs="楷体_GB2312"/>
          <w:bCs/>
          <w:sz w:val="24"/>
        </w:rPr>
        <w:t>自动布置LID参数块</w:t>
      </w:r>
    </w:p>
    <w:p>
      <w:pPr>
        <w:pStyle w:val="24"/>
        <w:tabs>
          <w:tab w:val="left" w:pos="640"/>
        </w:tabs>
        <w:spacing w:line="360" w:lineRule="auto"/>
        <w:ind w:firstLineChars="175"/>
        <w:jc w:val="left"/>
        <w:rPr>
          <w:rFonts w:ascii="宋体" w:hAnsi="宋体" w:cs="楷体_GB2312"/>
          <w:bCs/>
          <w:sz w:val="24"/>
        </w:rPr>
      </w:pPr>
      <w:r>
        <w:rPr>
          <w:rFonts w:hint="eastAsia" w:ascii="宋体" w:hAnsi="宋体" w:cs="楷体_GB2312"/>
          <w:bCs/>
          <w:sz w:val="24"/>
        </w:rPr>
        <w:t>布置参数块的意义在于为之后加入LID措施后的改善测评做好基础，通过定义LID测量和年径流总量控制率，可以快速组织参数块。参数块包括透水铺装、植草沟、末端蓄水池等。</w:t>
      </w:r>
    </w:p>
    <w:p>
      <w:pPr>
        <w:pStyle w:val="24"/>
        <w:tabs>
          <w:tab w:val="left" w:pos="640"/>
        </w:tabs>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3679190" cy="3634105"/>
            <wp:effectExtent l="0" t="0" r="16510" b="4445"/>
            <wp:docPr id="16" name="图片 16" descr="11.自动布置LID参数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1.自动布置LID参数块"/>
                    <pic:cNvPicPr>
                      <a:picLocks noChangeAspect="1"/>
                    </pic:cNvPicPr>
                  </pic:nvPicPr>
                  <pic:blipFill>
                    <a:blip r:embed="rId21" cstate="print"/>
                    <a:stretch>
                      <a:fillRect/>
                    </a:stretch>
                  </pic:blipFill>
                  <pic:spPr>
                    <a:xfrm>
                      <a:off x="0" y="0"/>
                      <a:ext cx="3679190" cy="3634105"/>
                    </a:xfrm>
                    <a:prstGeom prst="rect">
                      <a:avLst/>
                    </a:prstGeom>
                  </pic:spPr>
                </pic:pic>
              </a:graphicData>
            </a:graphic>
          </wp:inline>
        </w:drawing>
      </w:r>
    </w:p>
    <w:p>
      <w:pPr>
        <w:pStyle w:val="24"/>
        <w:tabs>
          <w:tab w:val="left" w:pos="640"/>
        </w:tabs>
        <w:spacing w:line="360" w:lineRule="auto"/>
        <w:ind w:firstLine="0" w:firstLineChars="0"/>
        <w:jc w:val="center"/>
        <w:rPr>
          <w:rFonts w:ascii="宋体" w:hAnsi="宋体" w:cs="楷体_GB2312"/>
          <w:bCs/>
          <w:sz w:val="24"/>
        </w:rPr>
      </w:pPr>
      <w:r>
        <w:rPr>
          <w:rFonts w:hint="eastAsia" w:ascii="宋体" w:hAnsi="宋体" w:cs="楷体_GB2312"/>
          <w:bCs/>
          <w:szCs w:val="21"/>
        </w:rPr>
        <w:t>图4.11  自动布置LID参数块</w:t>
      </w:r>
    </w:p>
    <w:p>
      <w:pPr>
        <w:pStyle w:val="24"/>
        <w:numPr>
          <w:ilvl w:val="0"/>
          <w:numId w:val="8"/>
        </w:numPr>
        <w:tabs>
          <w:tab w:val="left" w:pos="640"/>
        </w:tabs>
        <w:spacing w:line="360" w:lineRule="auto"/>
        <w:ind w:left="640" w:hanging="640" w:firstLineChars="0"/>
        <w:jc w:val="left"/>
        <w:rPr>
          <w:rFonts w:ascii="宋体" w:hAnsi="宋体" w:cs="楷体_GB2312"/>
          <w:bCs/>
          <w:sz w:val="24"/>
        </w:rPr>
      </w:pPr>
      <w:r>
        <w:rPr>
          <w:rFonts w:hint="eastAsia" w:ascii="宋体" w:hAnsi="宋体" w:cs="楷体_GB2312"/>
          <w:bCs/>
          <w:sz w:val="24"/>
        </w:rPr>
        <w:t>LID地块自动推算</w:t>
      </w:r>
    </w:p>
    <w:p>
      <w:pPr>
        <w:pStyle w:val="24"/>
        <w:tabs>
          <w:tab w:val="left" w:pos="640"/>
        </w:tabs>
        <w:spacing w:line="360" w:lineRule="auto"/>
        <w:ind w:firstLineChars="175"/>
        <w:jc w:val="left"/>
        <w:rPr>
          <w:rFonts w:ascii="宋体" w:hAnsi="宋体" w:cs="楷体_GB2312"/>
          <w:bCs/>
          <w:sz w:val="24"/>
        </w:rPr>
      </w:pPr>
      <w:r>
        <w:rPr>
          <w:rFonts w:hint="eastAsia" w:ascii="宋体" w:hAnsi="宋体" w:cs="楷体_GB2312"/>
          <w:bCs/>
          <w:sz w:val="24"/>
        </w:rPr>
        <w:t xml:space="preserve"> LID地块自动推算共有两种方法分别是容积法和模型法。图4.12的模型法LID地块自动推算是根据控制率生成的，与年径流控制率80%对应的标准降雨量为29.7mm，由这一步估算出的安装量为上一步的每个参数块。在遇到个参数块都布置完成还有设施未布置的情况，只能在剩下的面积里都设置成末端蓄水池。生成的文件内容包含不同LID设施的推荐铺设比例、面积、是否出流进入渗透面积等。详见附件1《地块LID自动推算计算书模型法》。</w:t>
      </w:r>
    </w:p>
    <w:p>
      <w:pPr>
        <w:pStyle w:val="24"/>
        <w:tabs>
          <w:tab w:val="left" w:pos="640"/>
        </w:tabs>
        <w:spacing w:line="360" w:lineRule="auto"/>
        <w:ind w:firstLine="0" w:firstLineChars="0"/>
        <w:jc w:val="center"/>
        <w:rPr>
          <w:rFonts w:ascii="宋体" w:hAnsi="宋体" w:cs="楷体_GB2312"/>
          <w:bCs/>
          <w:sz w:val="24"/>
        </w:rPr>
      </w:pPr>
      <w:r>
        <w:rPr>
          <w:rFonts w:hint="eastAsia" w:ascii="宋体" w:hAnsi="宋体" w:cs="楷体_GB2312"/>
          <w:bCs/>
          <w:sz w:val="24"/>
        </w:rPr>
        <w:drawing>
          <wp:inline distT="0" distB="0" distL="114300" distR="114300">
            <wp:extent cx="5204460" cy="4699000"/>
            <wp:effectExtent l="0" t="0" r="15240" b="6350"/>
            <wp:docPr id="14" name="图片 14" descr="07$762VAAZ6_V$JX]EDT[W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7$762VAAZ6_V$JX]EDT[WJ"/>
                    <pic:cNvPicPr>
                      <a:picLocks noChangeAspect="1"/>
                    </pic:cNvPicPr>
                  </pic:nvPicPr>
                  <pic:blipFill>
                    <a:blip r:embed="rId22" cstate="print"/>
                    <a:stretch>
                      <a:fillRect/>
                    </a:stretch>
                  </pic:blipFill>
                  <pic:spPr>
                    <a:xfrm>
                      <a:off x="0" y="0"/>
                      <a:ext cx="5204460" cy="4699000"/>
                    </a:xfrm>
                    <a:prstGeom prst="rect">
                      <a:avLst/>
                    </a:prstGeom>
                  </pic:spPr>
                </pic:pic>
              </a:graphicData>
            </a:graphic>
          </wp:inline>
        </w:drawing>
      </w:r>
    </w:p>
    <w:p>
      <w:pPr>
        <w:pStyle w:val="24"/>
        <w:tabs>
          <w:tab w:val="left" w:pos="640"/>
        </w:tabs>
        <w:spacing w:line="360" w:lineRule="auto"/>
        <w:ind w:firstLine="0" w:firstLineChars="0"/>
        <w:jc w:val="center"/>
        <w:rPr>
          <w:rFonts w:ascii="宋体" w:hAnsi="宋体" w:cs="楷体_GB2312"/>
          <w:bCs/>
          <w:szCs w:val="21"/>
        </w:rPr>
      </w:pPr>
      <w:r>
        <w:rPr>
          <w:rFonts w:hint="eastAsia" w:ascii="宋体" w:hAnsi="宋体" w:cs="楷体_GB2312"/>
          <w:bCs/>
          <w:szCs w:val="21"/>
        </w:rPr>
        <w:t>图4.12  模型法LID地块自动推算</w:t>
      </w:r>
    </w:p>
    <w:p>
      <w:pPr>
        <w:pStyle w:val="24"/>
        <w:tabs>
          <w:tab w:val="left" w:pos="640"/>
        </w:tabs>
        <w:spacing w:line="360" w:lineRule="auto"/>
        <w:ind w:firstLine="480"/>
        <w:jc w:val="left"/>
        <w:rPr>
          <w:rFonts w:ascii="宋体" w:hAnsi="宋体" w:cs="楷体_GB2312"/>
          <w:bCs/>
          <w:sz w:val="24"/>
        </w:rPr>
      </w:pPr>
      <w:r>
        <w:rPr>
          <w:rFonts w:hint="eastAsia" w:ascii="宋体" w:hAnsi="宋体" w:cs="楷体_GB2312"/>
          <w:bCs/>
          <w:sz w:val="24"/>
        </w:rPr>
        <w:t>图4.13的容积法LID地块自动推算是以《海绵城市建设指南》作为依据的。所以不需要标准降雨这一指标而多了一个2小时的渗入时间。生成的文件内容为传统下垫面、过流型LID控制和蓄渗型LID控制这三种排水方式的比较，具体为推荐铺设比例（传统的下垫面面积称为剩余面积减去LID安装面积）、面积、径流系数（传统下垫面没有此项）等。详见附件2《地块LID自动推算容积法》。</w:t>
      </w:r>
    </w:p>
    <w:p>
      <w:pPr>
        <w:pStyle w:val="24"/>
        <w:tabs>
          <w:tab w:val="left" w:pos="640"/>
        </w:tabs>
        <w:spacing w:line="360" w:lineRule="auto"/>
        <w:ind w:firstLineChars="175"/>
        <w:jc w:val="center"/>
        <w:rPr>
          <w:rFonts w:ascii="宋体" w:hAnsi="宋体" w:cs="楷体_GB2312"/>
          <w:bCs/>
          <w:sz w:val="24"/>
        </w:rPr>
      </w:pPr>
      <w:r>
        <w:rPr>
          <w:rFonts w:hint="eastAsia" w:ascii="宋体" w:hAnsi="宋体" w:cs="楷体_GB2312"/>
          <w:bCs/>
          <w:sz w:val="24"/>
        </w:rPr>
        <w:drawing>
          <wp:inline distT="0" distB="0" distL="114300" distR="114300">
            <wp:extent cx="4490720" cy="3834130"/>
            <wp:effectExtent l="0" t="0" r="5080" b="13970"/>
            <wp:docPr id="12" name="图片 12" descr="XR2J30JB{A4)P[]E2HK}~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XR2J30JB{A4)P[]E2HK}~ND"/>
                    <pic:cNvPicPr>
                      <a:picLocks noChangeAspect="1"/>
                    </pic:cNvPicPr>
                  </pic:nvPicPr>
                  <pic:blipFill>
                    <a:blip r:embed="rId23" cstate="print"/>
                    <a:stretch>
                      <a:fillRect/>
                    </a:stretch>
                  </pic:blipFill>
                  <pic:spPr>
                    <a:xfrm>
                      <a:off x="0" y="0"/>
                      <a:ext cx="4490720" cy="3834130"/>
                    </a:xfrm>
                    <a:prstGeom prst="rect">
                      <a:avLst/>
                    </a:prstGeom>
                  </pic:spPr>
                </pic:pic>
              </a:graphicData>
            </a:graphic>
          </wp:inline>
        </w:drawing>
      </w:r>
    </w:p>
    <w:p>
      <w:pPr>
        <w:pStyle w:val="24"/>
        <w:tabs>
          <w:tab w:val="left" w:pos="640"/>
        </w:tabs>
        <w:spacing w:line="360" w:lineRule="auto"/>
        <w:ind w:firstLine="0" w:firstLineChars="0"/>
        <w:jc w:val="center"/>
        <w:rPr>
          <w:rFonts w:ascii="宋体" w:hAnsi="宋体" w:cs="楷体_GB2312"/>
          <w:bCs/>
          <w:sz w:val="24"/>
        </w:rPr>
      </w:pPr>
      <w:r>
        <w:rPr>
          <w:rFonts w:hint="eastAsia" w:ascii="宋体" w:hAnsi="宋体" w:cs="楷体_GB2312"/>
          <w:bCs/>
          <w:szCs w:val="21"/>
        </w:rPr>
        <w:t>图4.13  容积法LID地块自动推算</w:t>
      </w:r>
    </w:p>
    <w:p>
      <w:pPr>
        <w:pStyle w:val="24"/>
        <w:numPr>
          <w:ilvl w:val="0"/>
          <w:numId w:val="8"/>
        </w:numPr>
        <w:tabs>
          <w:tab w:val="left" w:pos="640"/>
        </w:tabs>
        <w:spacing w:line="360" w:lineRule="auto"/>
        <w:ind w:left="640" w:hanging="640" w:firstLineChars="0"/>
        <w:jc w:val="left"/>
        <w:rPr>
          <w:rFonts w:ascii="宋体" w:hAnsi="宋体" w:cs="楷体_GB2312"/>
          <w:bCs/>
          <w:sz w:val="24"/>
        </w:rPr>
      </w:pPr>
      <w:r>
        <w:rPr>
          <w:rFonts w:hint="eastAsia" w:ascii="宋体" w:hAnsi="宋体" w:cs="楷体_GB2312"/>
          <w:bCs/>
          <w:sz w:val="24"/>
        </w:rPr>
        <w:t>模型法绘制雨量数据表</w:t>
      </w:r>
    </w:p>
    <w:p>
      <w:pPr>
        <w:pStyle w:val="24"/>
        <w:tabs>
          <w:tab w:val="left" w:pos="640"/>
        </w:tabs>
        <w:spacing w:line="360" w:lineRule="auto"/>
        <w:ind w:firstLineChars="175"/>
        <w:jc w:val="left"/>
        <w:rPr>
          <w:rFonts w:ascii="宋体" w:hAnsi="宋体" w:cs="楷体_GB2312"/>
          <w:bCs/>
          <w:sz w:val="24"/>
        </w:rPr>
      </w:pPr>
      <w:r>
        <w:rPr>
          <w:rFonts w:hint="eastAsia" w:ascii="宋体" w:hAnsi="宋体" w:cs="楷体_GB2312"/>
          <w:bCs/>
          <w:sz w:val="24"/>
        </w:rPr>
        <w:t xml:space="preserve"> 图4.14是根据模型法生成的管道流量曲线图。与图4.9不同，图4.14描绘了径流总量和径流峰值的曲线变化，让我们可以更直观明了的看到径流在一场降雨里的变化。可以看到在降雨前期，径流量的变化趋势是平稳上升。到了降雨量突然变大的降雨中期，径流量曲线也开始变化，尤其到了降雨后期，径流量曲线的变化非常波动。</w:t>
      </w:r>
    </w:p>
    <w:p>
      <w:pPr>
        <w:pStyle w:val="24"/>
        <w:tabs>
          <w:tab w:val="left" w:pos="640"/>
        </w:tabs>
        <w:spacing w:line="360" w:lineRule="auto"/>
        <w:ind w:firstLine="840" w:firstLineChars="350"/>
        <w:jc w:val="center"/>
        <w:rPr>
          <w:rFonts w:ascii="宋体" w:hAnsi="宋体" w:cs="楷体_GB2312"/>
          <w:bCs/>
          <w:sz w:val="24"/>
        </w:rPr>
      </w:pPr>
      <w:r>
        <w:rPr>
          <w:rFonts w:hint="eastAsia" w:ascii="宋体" w:hAnsi="宋体" w:cs="楷体_GB2312"/>
          <w:bCs/>
          <w:sz w:val="24"/>
        </w:rPr>
        <w:drawing>
          <wp:inline distT="0" distB="0" distL="114300" distR="114300">
            <wp:extent cx="4887595" cy="2785110"/>
            <wp:effectExtent l="0" t="0" r="8255" b="15240"/>
            <wp:docPr id="27" name="图片 27" descr="13.模型法雨量数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3.模型法雨量数据图"/>
                    <pic:cNvPicPr>
                      <a:picLocks noChangeAspect="1"/>
                    </pic:cNvPicPr>
                  </pic:nvPicPr>
                  <pic:blipFill>
                    <a:blip r:embed="rId24" cstate="print"/>
                    <a:stretch>
                      <a:fillRect/>
                    </a:stretch>
                  </pic:blipFill>
                  <pic:spPr>
                    <a:xfrm>
                      <a:off x="0" y="0"/>
                      <a:ext cx="4887595" cy="2785110"/>
                    </a:xfrm>
                    <a:prstGeom prst="rect">
                      <a:avLst/>
                    </a:prstGeom>
                  </pic:spPr>
                </pic:pic>
              </a:graphicData>
            </a:graphic>
          </wp:inline>
        </w:drawing>
      </w:r>
    </w:p>
    <w:p>
      <w:pPr>
        <w:pStyle w:val="24"/>
        <w:tabs>
          <w:tab w:val="left" w:pos="640"/>
        </w:tabs>
        <w:spacing w:line="360" w:lineRule="auto"/>
        <w:ind w:firstLine="0" w:firstLineChars="0"/>
        <w:jc w:val="center"/>
        <w:rPr>
          <w:rFonts w:ascii="宋体" w:hAnsi="宋体" w:cs="楷体_GB2312"/>
          <w:bCs/>
          <w:sz w:val="24"/>
        </w:rPr>
      </w:pPr>
      <w:r>
        <w:rPr>
          <w:rFonts w:hint="eastAsia" w:ascii="宋体" w:hAnsi="宋体" w:cs="楷体_GB2312"/>
          <w:bCs/>
          <w:szCs w:val="21"/>
        </w:rPr>
        <w:t>图4.14  模型法绘制雨量数据表</w:t>
      </w:r>
    </w:p>
    <w:p>
      <w:pPr>
        <w:pStyle w:val="24"/>
        <w:numPr>
          <w:ilvl w:val="0"/>
          <w:numId w:val="8"/>
        </w:numPr>
        <w:tabs>
          <w:tab w:val="left" w:pos="640"/>
        </w:tabs>
        <w:spacing w:line="360" w:lineRule="auto"/>
        <w:ind w:left="640" w:hanging="640" w:firstLineChars="0"/>
        <w:jc w:val="left"/>
        <w:rPr>
          <w:rFonts w:ascii="宋体" w:hAnsi="宋体" w:cs="楷体_GB2312"/>
          <w:bCs/>
          <w:sz w:val="24"/>
        </w:rPr>
      </w:pPr>
      <w:r>
        <w:rPr>
          <w:rFonts w:hint="eastAsia" w:ascii="宋体" w:hAnsi="宋体" w:cs="楷体_GB2312"/>
          <w:bCs/>
          <w:sz w:val="24"/>
        </w:rPr>
        <w:t>平面动态模拟</w:t>
      </w:r>
    </w:p>
    <w:p>
      <w:pPr>
        <w:spacing w:line="360" w:lineRule="auto"/>
        <w:ind w:firstLine="420" w:firstLineChars="175"/>
        <w:rPr>
          <w:rFonts w:ascii="宋体" w:hAnsi="宋体" w:cs="楷体_GB2312"/>
          <w:bCs/>
          <w:sz w:val="24"/>
        </w:rPr>
      </w:pPr>
      <w:r>
        <w:rPr>
          <w:rFonts w:hint="eastAsia" w:ascii="宋体" w:hAnsi="宋体" w:cs="楷体_GB2312"/>
          <w:bCs/>
          <w:sz w:val="24"/>
        </w:rPr>
        <w:t>图4.15采用了模拟法中的平面动态模拟，可以模拟汇水区域每小时降水量、节点水深和每立方米管段流量，其主要方式是监测各个降雨时段的管道流量的变化情况。</w:t>
      </w:r>
    </w:p>
    <w:p>
      <w:pPr>
        <w:pStyle w:val="24"/>
        <w:ind w:firstLine="218" w:firstLineChars="91"/>
        <w:jc w:val="center"/>
        <w:rPr>
          <w:rFonts w:ascii="宋体" w:hAnsi="宋体" w:cs="楷体_GB2312"/>
          <w:bCs/>
          <w:sz w:val="24"/>
        </w:rPr>
      </w:pPr>
      <w:r>
        <w:rPr>
          <w:rFonts w:hint="eastAsia" w:ascii="宋体" w:hAnsi="宋体" w:cs="楷体_GB2312"/>
          <w:bCs/>
          <w:sz w:val="24"/>
        </w:rPr>
        <w:drawing>
          <wp:inline distT="0" distB="0" distL="114300" distR="114300">
            <wp:extent cx="5603875" cy="2160905"/>
            <wp:effectExtent l="0" t="0" r="15875" b="10795"/>
            <wp:docPr id="26" name="图片 26" descr="管流模拟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管流模拟1"/>
                    <pic:cNvPicPr>
                      <a:picLocks noChangeAspect="1"/>
                    </pic:cNvPicPr>
                  </pic:nvPicPr>
                  <pic:blipFill>
                    <a:blip r:embed="rId25" cstate="print"/>
                    <a:stretch>
                      <a:fillRect/>
                    </a:stretch>
                  </pic:blipFill>
                  <pic:spPr>
                    <a:xfrm>
                      <a:off x="0" y="0"/>
                      <a:ext cx="5603875" cy="2160905"/>
                    </a:xfrm>
                    <a:prstGeom prst="rect">
                      <a:avLst/>
                    </a:prstGeom>
                  </pic:spPr>
                </pic:pic>
              </a:graphicData>
            </a:graphic>
          </wp:inline>
        </w:drawing>
      </w:r>
    </w:p>
    <w:p>
      <w:pPr>
        <w:spacing w:line="360" w:lineRule="auto"/>
        <w:jc w:val="center"/>
        <w:rPr>
          <w:rFonts w:ascii="宋体" w:hAnsi="宋体" w:cs="楷体_GB2312"/>
          <w:bCs/>
          <w:sz w:val="24"/>
        </w:rPr>
      </w:pPr>
      <w:r>
        <w:rPr>
          <w:rFonts w:hint="eastAsia" w:ascii="宋体" w:hAnsi="宋体" w:cs="楷体_GB2312"/>
          <w:bCs/>
          <w:szCs w:val="21"/>
        </w:rPr>
        <w:t>图4.15  平面动态管道模拟</w:t>
      </w:r>
    </w:p>
    <w:p>
      <w:pPr>
        <w:spacing w:line="360" w:lineRule="auto"/>
        <w:ind w:firstLine="480" w:firstLineChars="200"/>
        <w:jc w:val="left"/>
        <w:rPr>
          <w:rFonts w:ascii="宋体" w:hAnsi="宋体"/>
          <w:sz w:val="24"/>
        </w:rPr>
      </w:pPr>
      <w:r>
        <w:rPr>
          <w:rFonts w:hint="eastAsia" w:ascii="宋体" w:hAnsi="宋体" w:cs="楷体_GB2312"/>
          <w:bCs/>
          <w:sz w:val="24"/>
        </w:rPr>
        <w:t>结论：根据生成的项目自评表（表4.1），当前年径流总量控制率为35.13%、污染物去除率为25%。没有达到第三章南京市文件中的玄武区具体位置的年总流量控制率规定的70%、污染减排率也没有达到规定的45%。需用软件模拟措施加以改进。</w:t>
      </w:r>
    </w:p>
    <w:tbl>
      <w:tblPr>
        <w:tblStyle w:val="17"/>
        <w:tblpPr w:leftFromText="180" w:rightFromText="180" w:vertAnchor="text" w:horzAnchor="page" w:tblpX="1800" w:tblpY="776"/>
        <w:tblOverlap w:val="never"/>
        <w:tblW w:w="964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024"/>
        <w:gridCol w:w="1107"/>
        <w:gridCol w:w="1107"/>
        <w:gridCol w:w="1107"/>
        <w:gridCol w:w="1107"/>
        <w:gridCol w:w="1107"/>
        <w:gridCol w:w="1107"/>
        <w:gridCol w:w="97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c>
          <w:tcPr>
            <w:tcW w:w="9645" w:type="dxa"/>
            <w:gridSpan w:val="8"/>
            <w:tcBorders>
              <w:top w:val="single" w:color="auto" w:sz="18" w:space="0"/>
              <w:bottom w:val="single" w:color="auto" w:sz="4" w:space="0"/>
            </w:tcBorders>
            <w:shd w:val="clear" w:color="auto" w:fill="auto"/>
          </w:tcPr>
          <w:p>
            <w:pPr>
              <w:pStyle w:val="27"/>
              <w:rPr>
                <w:color w:val="000000"/>
              </w:rPr>
            </w:pPr>
            <w:r>
              <w:rPr>
                <w:rFonts w:hint="eastAsia"/>
                <w:color w:val="000000"/>
              </w:rPr>
              <w:t>整个小区校核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04" w:hRule="atLeast"/>
        </w:trPr>
        <w:tc>
          <w:tcPr>
            <w:tcW w:w="9645" w:type="dxa"/>
            <w:gridSpan w:val="8"/>
            <w:tcBorders>
              <w:top w:val="single" w:color="auto" w:sz="4" w:space="0"/>
            </w:tcBorders>
            <w:shd w:val="clear" w:color="auto" w:fill="auto"/>
          </w:tcPr>
          <w:p>
            <w:pPr>
              <w:pStyle w:val="27"/>
              <w:rPr>
                <w:color w:val="000000"/>
              </w:rPr>
            </w:pPr>
            <w:r>
              <w:rPr>
                <w:rFonts w:hint="eastAsia"/>
                <w:color w:val="000000"/>
              </w:rPr>
              <w:t>地块面积: 2.997ha，年径流控制率: 80%, 设计日降雨量: 29.7mm, 渗透时间: 2h</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7559" w:type="dxa"/>
            <w:gridSpan w:val="6"/>
            <w:shd w:val="clear" w:color="auto" w:fill="auto"/>
          </w:tcPr>
          <w:p>
            <w:pPr>
              <w:pStyle w:val="27"/>
              <w:rPr>
                <w:color w:val="000000"/>
              </w:rPr>
            </w:pPr>
            <w:r>
              <w:rPr>
                <w:rFonts w:hint="eastAsia"/>
                <w:color w:val="000000"/>
              </w:rPr>
              <w:t>下垫面组成</w:t>
            </w:r>
          </w:p>
        </w:tc>
        <w:tc>
          <w:tcPr>
            <w:tcW w:w="2086" w:type="dxa"/>
            <w:gridSpan w:val="2"/>
            <w:shd w:val="clear" w:color="auto" w:fill="auto"/>
          </w:tcPr>
          <w:p>
            <w:pPr>
              <w:pStyle w:val="27"/>
              <w:rPr>
                <w:color w:val="000000"/>
              </w:rPr>
            </w:pPr>
            <w:r>
              <w:rPr>
                <w:rFonts w:hint="eastAsia"/>
                <w:color w:val="000000"/>
              </w:rPr>
              <w:t>校核指标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6" w:hRule="atLeast"/>
        </w:trPr>
        <w:tc>
          <w:tcPr>
            <w:tcW w:w="2024" w:type="dxa"/>
            <w:shd w:val="clear" w:color="auto" w:fill="auto"/>
          </w:tcPr>
          <w:p>
            <w:pPr>
              <w:pStyle w:val="27"/>
              <w:rPr>
                <w:color w:val="000000"/>
              </w:rPr>
            </w:pPr>
            <w:r>
              <w:rPr>
                <w:rFonts w:hint="eastAsia"/>
                <w:color w:val="000000"/>
              </w:rPr>
              <w:t>名称</w:t>
            </w:r>
          </w:p>
        </w:tc>
        <w:tc>
          <w:tcPr>
            <w:tcW w:w="1107" w:type="dxa"/>
            <w:shd w:val="clear" w:color="auto" w:fill="auto"/>
          </w:tcPr>
          <w:p>
            <w:pPr>
              <w:pStyle w:val="27"/>
              <w:rPr>
                <w:color w:val="000000"/>
              </w:rPr>
            </w:pPr>
            <w:r>
              <w:rPr>
                <w:rFonts w:hint="eastAsia"/>
                <w:color w:val="000000"/>
              </w:rPr>
              <w:t>面积（ha）</w:t>
            </w:r>
          </w:p>
        </w:tc>
        <w:tc>
          <w:tcPr>
            <w:tcW w:w="1107" w:type="dxa"/>
            <w:shd w:val="clear" w:color="auto" w:fill="auto"/>
          </w:tcPr>
          <w:p>
            <w:pPr>
              <w:pStyle w:val="27"/>
              <w:rPr>
                <w:color w:val="000000"/>
              </w:rPr>
            </w:pPr>
            <w:r>
              <w:rPr>
                <w:rFonts w:hint="eastAsia"/>
                <w:color w:val="000000"/>
              </w:rPr>
              <w:t>雨量径流系数</w:t>
            </w:r>
          </w:p>
        </w:tc>
        <w:tc>
          <w:tcPr>
            <w:tcW w:w="1107" w:type="dxa"/>
            <w:shd w:val="clear" w:color="auto" w:fill="auto"/>
          </w:tcPr>
          <w:p>
            <w:pPr>
              <w:pStyle w:val="27"/>
              <w:rPr>
                <w:color w:val="000000"/>
              </w:rPr>
            </w:pPr>
            <w:r>
              <w:rPr>
                <w:rFonts w:hint="eastAsia"/>
                <w:color w:val="000000"/>
              </w:rPr>
              <w:t>综合径流系数</w:t>
            </w:r>
          </w:p>
        </w:tc>
        <w:tc>
          <w:tcPr>
            <w:tcW w:w="1107" w:type="dxa"/>
            <w:shd w:val="clear" w:color="auto" w:fill="auto"/>
          </w:tcPr>
          <w:p>
            <w:pPr>
              <w:pStyle w:val="27"/>
              <w:rPr>
                <w:color w:val="000000"/>
              </w:rPr>
            </w:pPr>
            <w:r>
              <w:rPr>
                <w:rFonts w:hint="eastAsia"/>
                <w:color w:val="000000"/>
              </w:rPr>
              <w:t>径流量（m3）</w:t>
            </w:r>
          </w:p>
        </w:tc>
        <w:tc>
          <w:tcPr>
            <w:tcW w:w="1107" w:type="dxa"/>
            <w:shd w:val="clear" w:color="auto" w:fill="auto"/>
          </w:tcPr>
          <w:p>
            <w:pPr>
              <w:pStyle w:val="27"/>
              <w:rPr>
                <w:color w:val="000000"/>
              </w:rPr>
            </w:pPr>
            <w:r>
              <w:rPr>
                <w:rFonts w:hint="eastAsia"/>
                <w:color w:val="000000"/>
              </w:rPr>
              <w:t>径流量合计</w:t>
            </w:r>
          </w:p>
        </w:tc>
        <w:tc>
          <w:tcPr>
            <w:tcW w:w="1107" w:type="dxa"/>
            <w:shd w:val="clear" w:color="auto" w:fill="auto"/>
          </w:tcPr>
          <w:p>
            <w:pPr>
              <w:pStyle w:val="27"/>
              <w:rPr>
                <w:color w:val="000000"/>
              </w:rPr>
            </w:pPr>
            <w:r>
              <w:rPr>
                <w:rFonts w:hint="eastAsia"/>
                <w:color w:val="000000"/>
              </w:rPr>
              <w:t>污染物去除率</w:t>
            </w:r>
          </w:p>
        </w:tc>
        <w:tc>
          <w:tcPr>
            <w:tcW w:w="979" w:type="dxa"/>
            <w:shd w:val="clear" w:color="auto" w:fill="auto"/>
          </w:tcPr>
          <w:p>
            <w:pPr>
              <w:pStyle w:val="27"/>
              <w:rPr>
                <w:color w:val="000000"/>
              </w:rPr>
            </w:pPr>
            <w:r>
              <w:rPr>
                <w:rFonts w:hint="eastAsia"/>
                <w:color w:val="000000"/>
              </w:rPr>
              <w:t>年径流总量控制率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24" w:type="dxa"/>
            <w:shd w:val="clear" w:color="auto" w:fill="auto"/>
          </w:tcPr>
          <w:p>
            <w:pPr>
              <w:pStyle w:val="28"/>
              <w:rPr>
                <w:color w:val="000000"/>
              </w:rPr>
            </w:pPr>
            <w:r>
              <w:rPr>
                <w:rFonts w:hint="eastAsia"/>
                <w:color w:val="000000"/>
              </w:rPr>
              <w:t>道路广场</w:t>
            </w:r>
          </w:p>
        </w:tc>
        <w:tc>
          <w:tcPr>
            <w:tcW w:w="1107" w:type="dxa"/>
            <w:shd w:val="clear" w:color="auto" w:fill="auto"/>
          </w:tcPr>
          <w:p>
            <w:pPr>
              <w:pStyle w:val="28"/>
              <w:rPr>
                <w:color w:val="000000"/>
              </w:rPr>
            </w:pPr>
            <w:r>
              <w:rPr>
                <w:rFonts w:hint="eastAsia"/>
                <w:color w:val="000000"/>
              </w:rPr>
              <w:t>1.5095</w:t>
            </w:r>
          </w:p>
        </w:tc>
        <w:tc>
          <w:tcPr>
            <w:tcW w:w="1107" w:type="dxa"/>
            <w:shd w:val="clear" w:color="auto" w:fill="auto"/>
          </w:tcPr>
          <w:p>
            <w:pPr>
              <w:pStyle w:val="28"/>
              <w:rPr>
                <w:color w:val="000000"/>
              </w:rPr>
            </w:pPr>
            <w:r>
              <w:rPr>
                <w:rFonts w:hint="eastAsia"/>
                <w:color w:val="000000"/>
              </w:rPr>
              <w:t>0.85</w:t>
            </w:r>
          </w:p>
        </w:tc>
        <w:tc>
          <w:tcPr>
            <w:tcW w:w="1107" w:type="dxa"/>
            <w:vMerge w:val="restart"/>
            <w:shd w:val="clear" w:color="auto" w:fill="auto"/>
          </w:tcPr>
          <w:p>
            <w:pPr>
              <w:pStyle w:val="28"/>
              <w:rPr>
                <w:color w:val="000000"/>
              </w:rPr>
            </w:pPr>
            <w:r>
              <w:rPr>
                <w:rFonts w:hint="eastAsia"/>
                <w:color w:val="000000"/>
              </w:rPr>
              <w:t>0.473</w:t>
            </w:r>
          </w:p>
        </w:tc>
        <w:tc>
          <w:tcPr>
            <w:tcW w:w="1107" w:type="dxa"/>
            <w:shd w:val="clear" w:color="auto" w:fill="auto"/>
          </w:tcPr>
          <w:p>
            <w:pPr>
              <w:pStyle w:val="28"/>
              <w:rPr>
                <w:color w:val="000000"/>
              </w:rPr>
            </w:pPr>
            <w:r>
              <w:rPr>
                <w:rFonts w:hint="eastAsia"/>
                <w:color w:val="000000"/>
              </w:rPr>
              <w:t>381.062</w:t>
            </w:r>
          </w:p>
        </w:tc>
        <w:tc>
          <w:tcPr>
            <w:tcW w:w="1107" w:type="dxa"/>
            <w:vMerge w:val="restart"/>
            <w:shd w:val="clear" w:color="auto" w:fill="auto"/>
          </w:tcPr>
          <w:p>
            <w:pPr>
              <w:pStyle w:val="28"/>
              <w:rPr>
                <w:color w:val="000000"/>
              </w:rPr>
            </w:pPr>
            <w:r>
              <w:rPr>
                <w:rFonts w:hint="eastAsia"/>
                <w:color w:val="000000"/>
              </w:rPr>
              <w:t>421.295</w:t>
            </w:r>
          </w:p>
        </w:tc>
        <w:tc>
          <w:tcPr>
            <w:tcW w:w="1107" w:type="dxa"/>
            <w:vMerge w:val="restart"/>
            <w:shd w:val="clear" w:color="auto" w:fill="auto"/>
          </w:tcPr>
          <w:p>
            <w:pPr>
              <w:pStyle w:val="28"/>
              <w:rPr>
                <w:color w:val="000000"/>
              </w:rPr>
            </w:pPr>
            <w:r>
              <w:rPr>
                <w:rFonts w:hint="eastAsia"/>
                <w:color w:val="000000"/>
              </w:rPr>
              <w:t xml:space="preserve"> 25</w:t>
            </w:r>
          </w:p>
        </w:tc>
        <w:tc>
          <w:tcPr>
            <w:tcW w:w="979" w:type="dxa"/>
            <w:vMerge w:val="restart"/>
            <w:shd w:val="clear" w:color="auto" w:fill="auto"/>
          </w:tcPr>
          <w:p>
            <w:pPr>
              <w:pStyle w:val="28"/>
              <w:rPr>
                <w:color w:val="000000"/>
              </w:rPr>
            </w:pPr>
            <w:r>
              <w:rPr>
                <w:rFonts w:hint="eastAsia"/>
                <w:color w:val="000000"/>
              </w:rPr>
              <w:t>35.13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24" w:type="dxa"/>
            <w:shd w:val="clear" w:color="auto" w:fill="auto"/>
          </w:tcPr>
          <w:p>
            <w:pPr>
              <w:pStyle w:val="28"/>
              <w:rPr>
                <w:color w:val="000000"/>
              </w:rPr>
            </w:pPr>
            <w:r>
              <w:rPr>
                <w:rFonts w:hint="eastAsia"/>
                <w:color w:val="000000"/>
              </w:rPr>
              <w:t>绿地</w:t>
            </w:r>
          </w:p>
        </w:tc>
        <w:tc>
          <w:tcPr>
            <w:tcW w:w="1107" w:type="dxa"/>
            <w:shd w:val="clear" w:color="auto" w:fill="auto"/>
          </w:tcPr>
          <w:p>
            <w:pPr>
              <w:pStyle w:val="28"/>
              <w:rPr>
                <w:color w:val="000000"/>
              </w:rPr>
            </w:pPr>
            <w:r>
              <w:rPr>
                <w:rFonts w:hint="eastAsia"/>
                <w:color w:val="000000"/>
              </w:rPr>
              <w:t>0.5034</w:t>
            </w:r>
          </w:p>
        </w:tc>
        <w:tc>
          <w:tcPr>
            <w:tcW w:w="1107" w:type="dxa"/>
            <w:shd w:val="clear" w:color="auto" w:fill="auto"/>
          </w:tcPr>
          <w:p>
            <w:pPr>
              <w:pStyle w:val="28"/>
              <w:rPr>
                <w:color w:val="000000"/>
              </w:rPr>
            </w:pPr>
            <w:r>
              <w:rPr>
                <w:rFonts w:hint="eastAsia"/>
                <w:color w:val="000000"/>
              </w:rPr>
              <w:t>0.2</w:t>
            </w:r>
          </w:p>
        </w:tc>
        <w:tc>
          <w:tcPr>
            <w:tcW w:w="1107" w:type="dxa"/>
            <w:vMerge w:val="continue"/>
            <w:shd w:val="clear" w:color="auto" w:fill="auto"/>
          </w:tcPr>
          <w:p>
            <w:pPr>
              <w:rPr>
                <w:color w:val="000000"/>
              </w:rPr>
            </w:pPr>
          </w:p>
        </w:tc>
        <w:tc>
          <w:tcPr>
            <w:tcW w:w="1107" w:type="dxa"/>
            <w:shd w:val="clear" w:color="auto" w:fill="auto"/>
          </w:tcPr>
          <w:p>
            <w:pPr>
              <w:pStyle w:val="28"/>
              <w:rPr>
                <w:color w:val="000000"/>
              </w:rPr>
            </w:pPr>
            <w:r>
              <w:rPr>
                <w:rFonts w:hint="eastAsia"/>
                <w:color w:val="000000"/>
              </w:rPr>
              <w:t>29.901</w:t>
            </w:r>
          </w:p>
        </w:tc>
        <w:tc>
          <w:tcPr>
            <w:tcW w:w="1107" w:type="dxa"/>
            <w:vMerge w:val="continue"/>
            <w:shd w:val="clear" w:color="auto" w:fill="auto"/>
          </w:tcPr>
          <w:p>
            <w:pPr>
              <w:rPr>
                <w:color w:val="000000"/>
              </w:rPr>
            </w:pPr>
          </w:p>
        </w:tc>
        <w:tc>
          <w:tcPr>
            <w:tcW w:w="1107" w:type="dxa"/>
            <w:vMerge w:val="continue"/>
            <w:shd w:val="clear" w:color="auto" w:fill="auto"/>
          </w:tcPr>
          <w:p>
            <w:pPr>
              <w:rPr>
                <w:color w:val="000000"/>
              </w:rPr>
            </w:pPr>
          </w:p>
        </w:tc>
        <w:tc>
          <w:tcPr>
            <w:tcW w:w="979" w:type="dxa"/>
            <w:vMerge w:val="continue"/>
            <w:shd w:val="clear" w:color="auto" w:fill="auto"/>
          </w:tcPr>
          <w:p>
            <w:pPr>
              <w:rPr>
                <w:color w:val="00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24" w:type="dxa"/>
            <w:shd w:val="clear" w:color="auto" w:fill="auto"/>
          </w:tcPr>
          <w:p>
            <w:pPr>
              <w:pStyle w:val="28"/>
              <w:rPr>
                <w:color w:val="000000"/>
              </w:rPr>
            </w:pPr>
            <w:r>
              <w:rPr>
                <w:rFonts w:hint="eastAsia"/>
                <w:color w:val="000000"/>
              </w:rPr>
              <w:t>可透水路面</w:t>
            </w:r>
          </w:p>
        </w:tc>
        <w:tc>
          <w:tcPr>
            <w:tcW w:w="1107" w:type="dxa"/>
            <w:shd w:val="clear" w:color="auto" w:fill="auto"/>
          </w:tcPr>
          <w:p>
            <w:pPr>
              <w:pStyle w:val="28"/>
              <w:rPr>
                <w:color w:val="000000"/>
              </w:rPr>
            </w:pPr>
            <w:r>
              <w:rPr>
                <w:rFonts w:hint="eastAsia"/>
                <w:color w:val="000000"/>
              </w:rPr>
              <w:t>0.1739</w:t>
            </w:r>
          </w:p>
        </w:tc>
        <w:tc>
          <w:tcPr>
            <w:tcW w:w="1107" w:type="dxa"/>
            <w:shd w:val="clear" w:color="auto" w:fill="auto"/>
          </w:tcPr>
          <w:p>
            <w:pPr>
              <w:pStyle w:val="28"/>
              <w:rPr>
                <w:color w:val="000000"/>
              </w:rPr>
            </w:pPr>
            <w:r>
              <w:rPr>
                <w:rFonts w:hint="eastAsia"/>
                <w:color w:val="000000"/>
              </w:rPr>
              <w:t>0.2</w:t>
            </w:r>
          </w:p>
        </w:tc>
        <w:tc>
          <w:tcPr>
            <w:tcW w:w="1107" w:type="dxa"/>
            <w:vMerge w:val="continue"/>
            <w:shd w:val="clear" w:color="auto" w:fill="auto"/>
          </w:tcPr>
          <w:p>
            <w:pPr>
              <w:rPr>
                <w:color w:val="000000"/>
              </w:rPr>
            </w:pPr>
          </w:p>
        </w:tc>
        <w:tc>
          <w:tcPr>
            <w:tcW w:w="1107" w:type="dxa"/>
            <w:shd w:val="clear" w:color="auto" w:fill="auto"/>
          </w:tcPr>
          <w:p>
            <w:pPr>
              <w:pStyle w:val="28"/>
              <w:rPr>
                <w:color w:val="000000"/>
              </w:rPr>
            </w:pPr>
            <w:r>
              <w:rPr>
                <w:rFonts w:hint="eastAsia"/>
                <w:color w:val="000000"/>
              </w:rPr>
              <w:t>10.332</w:t>
            </w:r>
          </w:p>
        </w:tc>
        <w:tc>
          <w:tcPr>
            <w:tcW w:w="1107" w:type="dxa"/>
            <w:vMerge w:val="continue"/>
            <w:shd w:val="clear" w:color="auto" w:fill="auto"/>
          </w:tcPr>
          <w:p>
            <w:pPr>
              <w:rPr>
                <w:color w:val="000000"/>
              </w:rPr>
            </w:pPr>
          </w:p>
        </w:tc>
        <w:tc>
          <w:tcPr>
            <w:tcW w:w="1107" w:type="dxa"/>
            <w:vMerge w:val="continue"/>
            <w:shd w:val="clear" w:color="auto" w:fill="auto"/>
          </w:tcPr>
          <w:p>
            <w:pPr>
              <w:rPr>
                <w:color w:val="000000"/>
              </w:rPr>
            </w:pPr>
          </w:p>
        </w:tc>
        <w:tc>
          <w:tcPr>
            <w:tcW w:w="979" w:type="dxa"/>
            <w:vMerge w:val="continue"/>
            <w:shd w:val="clear" w:color="auto" w:fill="auto"/>
          </w:tcPr>
          <w:p>
            <w:pPr>
              <w:rPr>
                <w:color w:val="00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04" w:hRule="atLeast"/>
        </w:trPr>
        <w:tc>
          <w:tcPr>
            <w:tcW w:w="2024" w:type="dxa"/>
            <w:tcBorders>
              <w:bottom w:val="single" w:color="auto" w:sz="18" w:space="0"/>
            </w:tcBorders>
            <w:shd w:val="clear" w:color="auto" w:fill="auto"/>
          </w:tcPr>
          <w:p>
            <w:pPr>
              <w:pStyle w:val="27"/>
              <w:rPr>
                <w:color w:val="000000"/>
              </w:rPr>
            </w:pPr>
            <w:r>
              <w:rPr>
                <w:rFonts w:hint="eastAsia"/>
                <w:color w:val="000000"/>
              </w:rPr>
              <w:t>名称</w:t>
            </w:r>
          </w:p>
        </w:tc>
        <w:tc>
          <w:tcPr>
            <w:tcW w:w="4428" w:type="dxa"/>
            <w:gridSpan w:val="4"/>
            <w:tcBorders>
              <w:bottom w:val="single" w:color="auto" w:sz="18" w:space="0"/>
            </w:tcBorders>
            <w:shd w:val="clear" w:color="auto" w:fill="auto"/>
          </w:tcPr>
          <w:p>
            <w:pPr>
              <w:pStyle w:val="27"/>
              <w:rPr>
                <w:color w:val="000000"/>
              </w:rPr>
            </w:pPr>
            <w:r>
              <w:rPr>
                <w:rFonts w:hint="eastAsia"/>
                <w:color w:val="000000"/>
              </w:rPr>
              <w:t>调蓄容积</w:t>
            </w:r>
          </w:p>
        </w:tc>
        <w:tc>
          <w:tcPr>
            <w:tcW w:w="1107" w:type="dxa"/>
            <w:tcBorders>
              <w:bottom w:val="single" w:color="auto" w:sz="18" w:space="0"/>
            </w:tcBorders>
            <w:shd w:val="clear" w:color="auto" w:fill="auto"/>
          </w:tcPr>
          <w:p>
            <w:pPr>
              <w:pStyle w:val="27"/>
              <w:rPr>
                <w:color w:val="000000"/>
              </w:rPr>
            </w:pPr>
            <w:r>
              <w:rPr>
                <w:rFonts w:hint="eastAsia"/>
                <w:color w:val="000000"/>
              </w:rPr>
              <w:t>调蓄容积合计</w:t>
            </w:r>
          </w:p>
        </w:tc>
        <w:tc>
          <w:tcPr>
            <w:tcW w:w="1107" w:type="dxa"/>
            <w:vMerge w:val="continue"/>
            <w:tcBorders>
              <w:bottom w:val="single" w:color="auto" w:sz="18" w:space="0"/>
            </w:tcBorders>
            <w:shd w:val="clear" w:color="auto" w:fill="auto"/>
          </w:tcPr>
          <w:p>
            <w:pPr>
              <w:rPr>
                <w:color w:val="000000"/>
              </w:rPr>
            </w:pPr>
          </w:p>
        </w:tc>
        <w:tc>
          <w:tcPr>
            <w:tcW w:w="979" w:type="dxa"/>
            <w:vMerge w:val="continue"/>
            <w:tcBorders>
              <w:bottom w:val="single" w:color="auto" w:sz="18" w:space="0"/>
            </w:tcBorders>
            <w:shd w:val="clear" w:color="auto" w:fill="auto"/>
          </w:tcPr>
          <w:p>
            <w:pPr>
              <w:rPr>
                <w:color w:val="000000"/>
              </w:rPr>
            </w:pPr>
          </w:p>
        </w:tc>
      </w:tr>
    </w:tbl>
    <w:p>
      <w:pPr>
        <w:spacing w:line="360" w:lineRule="auto"/>
        <w:ind w:firstLine="420" w:firstLineChars="200"/>
        <w:jc w:val="center"/>
        <w:rPr>
          <w:rFonts w:ascii="宋体" w:hAnsi="宋体" w:cs="楷体_GB2312"/>
          <w:bCs/>
          <w:sz w:val="24"/>
        </w:rPr>
      </w:pPr>
      <w:r>
        <w:rPr>
          <w:rFonts w:hint="eastAsia" w:ascii="宋体" w:hAnsi="宋体" w:cs="楷体_GB2312"/>
          <w:bCs/>
          <w:szCs w:val="21"/>
        </w:rPr>
        <w:t>表4.1  项目自评表</w:t>
      </w:r>
    </w:p>
    <w:p>
      <w:pPr>
        <w:spacing w:line="360" w:lineRule="auto"/>
        <w:ind w:firstLine="480" w:firstLineChars="200"/>
        <w:jc w:val="left"/>
        <w:rPr>
          <w:rFonts w:ascii="宋体" w:hAnsi="宋体"/>
          <w:sz w:val="24"/>
        </w:rPr>
      </w:pPr>
      <w:r>
        <w:rPr>
          <w:rFonts w:hint="eastAsia" w:ascii="宋体" w:hAnsi="宋体" w:cs="楷体_GB2312"/>
          <w:bCs/>
          <w:sz w:val="24"/>
        </w:rPr>
        <w:t>项目自评表包括容积法和模型法分别生成的自评表。其他内容包括设计方案自评表、年径流控制率概化降雨数据</w:t>
      </w:r>
      <w:r>
        <w:rPr>
          <w:rFonts w:hint="eastAsia"/>
        </w:rPr>
        <w:t>、</w:t>
      </w:r>
      <w:r>
        <w:rPr>
          <w:rFonts w:hint="eastAsia" w:ascii="宋体" w:hAnsi="宋体"/>
          <w:sz w:val="24"/>
        </w:rPr>
        <w:t>LID工程措施技术参数等详见附件3《海绵小区自评表容积法》和附件4《海绵小区自评表模型法》。</w:t>
      </w:r>
    </w:p>
    <w:p>
      <w:pPr>
        <w:spacing w:line="360" w:lineRule="auto"/>
        <w:ind w:firstLine="480" w:firstLineChars="200"/>
        <w:jc w:val="left"/>
        <w:rPr>
          <w:rFonts w:ascii="宋体" w:hAnsi="宋体" w:cs="楷体_GB2312"/>
          <w:bCs/>
          <w:sz w:val="24"/>
        </w:rPr>
      </w:pPr>
    </w:p>
    <w:p>
      <w:pPr>
        <w:widowControl/>
        <w:jc w:val="left"/>
        <w:rPr>
          <w:rFonts w:ascii="宋体" w:hAnsi="宋体" w:cs="楷体_GB2312"/>
          <w:bCs/>
          <w:sz w:val="24"/>
        </w:rPr>
      </w:pPr>
      <w:r>
        <w:rPr>
          <w:rFonts w:ascii="宋体" w:hAnsi="宋体" w:cs="楷体_GB2312"/>
          <w:bCs/>
          <w:sz w:val="24"/>
        </w:rPr>
        <w:br w:type="page"/>
      </w:r>
    </w:p>
    <w:p>
      <w:pPr>
        <w:pStyle w:val="24"/>
        <w:numPr>
          <w:ilvl w:val="0"/>
          <w:numId w:val="1"/>
        </w:numPr>
        <w:spacing w:beforeLines="50" w:afterLines="50" w:line="360" w:lineRule="auto"/>
        <w:ind w:firstLineChars="0"/>
        <w:rPr>
          <w:rFonts w:ascii="黑体" w:hAnsi="宋体" w:eastAsia="黑体"/>
          <w:b/>
          <w:bCs/>
          <w:sz w:val="30"/>
        </w:rPr>
      </w:pPr>
      <w:r>
        <w:rPr>
          <w:rFonts w:hint="eastAsia" w:ascii="黑体" w:eastAsia="黑体"/>
          <w:b/>
          <w:bCs/>
          <w:sz w:val="30"/>
        </w:rPr>
        <w:t>项目改进措施及评价</w:t>
      </w:r>
    </w:p>
    <w:p>
      <w:pPr>
        <w:spacing w:line="360" w:lineRule="auto"/>
        <w:ind w:firstLine="480" w:firstLineChars="200"/>
        <w:jc w:val="left"/>
        <w:rPr>
          <w:rFonts w:ascii="宋体" w:hAnsi="宋体" w:cs="楷体_GB2312"/>
          <w:bCs/>
          <w:sz w:val="24"/>
        </w:rPr>
      </w:pPr>
      <w:r>
        <w:rPr>
          <w:rFonts w:hint="eastAsia" w:ascii="宋体" w:hAnsi="宋体" w:cs="楷体_GB2312"/>
          <w:bCs/>
          <w:sz w:val="24"/>
        </w:rPr>
        <w:t>目前，用来改善海绵城市现状的LID措施有透水路面、下沉式绿地、生态树池、雨水花坛和蓄水池等。根据该项目特点和LID自动推算表，非机动车道和人行道应采用透水路面和生态树池来增加雨水量，目的是让雨水自然渗透。用到的材料为透水混凝土，路面为多孔路面，路基为砂质土等透水材料。</w:t>
      </w:r>
    </w:p>
    <w:p>
      <w:pPr>
        <w:spacing w:line="360" w:lineRule="auto"/>
        <w:ind w:firstLine="480" w:firstLineChars="200"/>
        <w:jc w:val="left"/>
        <w:rPr>
          <w:rFonts w:ascii="宋体" w:hAnsi="宋体" w:cs="宋体"/>
          <w:sz w:val="24"/>
        </w:rPr>
      </w:pPr>
      <w:r>
        <w:rPr>
          <w:rFonts w:hint="eastAsia" w:ascii="宋体" w:hAnsi="宋体" w:cs="宋体"/>
          <w:sz w:val="24"/>
        </w:rPr>
        <w:t>透水道路是一种新型的城市道路建设方式。大孔结构层或排水导流渗透系统可以这雨水经过铺装结构渗入地面，达到控制地表排水、雨水利用等目的。有很多种透水铺装的结构组合形式，在城市道路里比较常见的是基层储排水型。透水沥青层、透水基层、隔离层、下层基层和路基是这种结构从路面到路基的排列方式</w:t>
      </w:r>
      <w:r>
        <w:rPr>
          <w:rFonts w:ascii="宋体" w:hAnsi="宋体" w:cs="宋体"/>
          <w:sz w:val="24"/>
        </w:rPr>
        <w:t>。</w:t>
      </w:r>
      <w:r>
        <w:rPr>
          <w:rFonts w:hint="eastAsia" w:ascii="宋体" w:hAnsi="宋体" w:cs="宋体"/>
          <w:sz w:val="24"/>
        </w:rPr>
        <w:t>横断面图见图5.1。</w:t>
      </w:r>
    </w:p>
    <w:p>
      <w:pPr>
        <w:spacing w:line="360" w:lineRule="auto"/>
        <w:ind w:firstLine="480" w:firstLineChars="200"/>
        <w:jc w:val="center"/>
        <w:rPr>
          <w:rFonts w:ascii="宋体" w:hAnsi="宋体" w:cs="宋体"/>
          <w:sz w:val="24"/>
        </w:rPr>
      </w:pPr>
      <w:r>
        <w:rPr>
          <w:rFonts w:hint="eastAsia" w:ascii="宋体" w:hAnsi="宋体" w:cs="宋体"/>
          <w:sz w:val="24"/>
        </w:rPr>
        <w:drawing>
          <wp:inline distT="0" distB="0" distL="114300" distR="114300">
            <wp:extent cx="4705350" cy="1916430"/>
            <wp:effectExtent l="19050" t="0" r="0" b="0"/>
            <wp:docPr id="17" name="图片 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
                    <pic:cNvPicPr>
                      <a:picLocks noChangeAspect="1"/>
                    </pic:cNvPicPr>
                  </pic:nvPicPr>
                  <pic:blipFill>
                    <a:blip r:embed="rId26" cstate="print"/>
                    <a:stretch>
                      <a:fillRect/>
                    </a:stretch>
                  </pic:blipFill>
                  <pic:spPr>
                    <a:xfrm>
                      <a:off x="0" y="0"/>
                      <a:ext cx="4705350" cy="1916744"/>
                    </a:xfrm>
                    <a:prstGeom prst="rect">
                      <a:avLst/>
                    </a:prstGeom>
                  </pic:spPr>
                </pic:pic>
              </a:graphicData>
            </a:graphic>
          </wp:inline>
        </w:drawing>
      </w:r>
    </w:p>
    <w:p>
      <w:pPr>
        <w:spacing w:line="360" w:lineRule="auto"/>
        <w:ind w:firstLine="420" w:firstLineChars="200"/>
        <w:jc w:val="center"/>
        <w:rPr>
          <w:rFonts w:ascii="宋体" w:hAnsi="宋体" w:cs="宋体"/>
          <w:szCs w:val="21"/>
        </w:rPr>
      </w:pPr>
      <w:r>
        <w:rPr>
          <w:rFonts w:hint="eastAsia" w:ascii="宋体" w:hAnsi="宋体" w:cs="楷体_GB2312"/>
          <w:bCs/>
          <w:szCs w:val="21"/>
        </w:rPr>
        <w:t xml:space="preserve">图5.1  </w:t>
      </w:r>
      <w:r>
        <w:rPr>
          <w:rFonts w:hint="eastAsia" w:ascii="宋体" w:hAnsi="宋体" w:cs="宋体"/>
          <w:szCs w:val="21"/>
        </w:rPr>
        <w:t>基层储排水型</w:t>
      </w:r>
      <w:r>
        <w:rPr>
          <w:rFonts w:hint="eastAsia" w:ascii="宋体" w:hAnsi="宋体" w:cs="楷体_GB2312"/>
          <w:bCs/>
          <w:szCs w:val="21"/>
        </w:rPr>
        <w:t>透水铺装横断面图</w:t>
      </w:r>
    </w:p>
    <w:p>
      <w:pPr>
        <w:spacing w:line="360" w:lineRule="auto"/>
        <w:ind w:firstLine="480" w:firstLineChars="200"/>
        <w:jc w:val="left"/>
        <w:rPr>
          <w:rFonts w:ascii="宋体" w:hAnsi="宋体" w:cs="楷体_GB2312"/>
          <w:bCs/>
          <w:sz w:val="24"/>
        </w:rPr>
      </w:pPr>
      <w:r>
        <w:rPr>
          <w:rFonts w:hint="eastAsia" w:ascii="宋体" w:hAnsi="宋体" w:cs="楷体_GB2312"/>
          <w:bCs/>
          <w:sz w:val="24"/>
        </w:rPr>
        <w:t>对径流雨水的净化和调蓄可以通过植草沟实现，植草沟主要转移和雨水径流、延缓径流雨水，减少污染物的排放，补充地下水。《海绵小区自评表》里可以看到植草沟的TSS去除率达到65%，虽然不符合南京市文件所要求的75%污染去除率但是不算很低。其做法可以按照图5.2进行。</w:t>
      </w:r>
    </w:p>
    <w:p>
      <w:pPr>
        <w:spacing w:line="360" w:lineRule="auto"/>
        <w:ind w:firstLine="480" w:firstLineChars="200"/>
        <w:jc w:val="center"/>
        <w:rPr>
          <w:rFonts w:ascii="宋体" w:hAnsi="宋体" w:cs="楷体_GB2312"/>
          <w:bCs/>
          <w:sz w:val="24"/>
        </w:rPr>
      </w:pPr>
      <w:r>
        <w:rPr>
          <w:rFonts w:hint="eastAsia" w:ascii="宋体" w:hAnsi="宋体" w:cs="楷体_GB2312"/>
          <w:bCs/>
          <w:sz w:val="24"/>
        </w:rPr>
        <w:t xml:space="preserve"> </w:t>
      </w:r>
      <w:r>
        <w:rPr>
          <w:rFonts w:hint="eastAsia" w:ascii="宋体" w:hAnsi="宋体" w:cs="楷体_GB2312"/>
          <w:bCs/>
          <w:sz w:val="24"/>
        </w:rPr>
        <w:drawing>
          <wp:inline distT="0" distB="0" distL="114300" distR="114300">
            <wp:extent cx="3396615" cy="1822450"/>
            <wp:effectExtent l="0" t="0" r="13335" b="6350"/>
            <wp:docPr id="8" name="图片 8" descr="植草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植草沟"/>
                    <pic:cNvPicPr>
                      <a:picLocks noChangeAspect="1"/>
                    </pic:cNvPicPr>
                  </pic:nvPicPr>
                  <pic:blipFill>
                    <a:blip r:embed="rId27" cstate="print"/>
                    <a:srcRect t="26885" r="940"/>
                    <a:stretch>
                      <a:fillRect/>
                    </a:stretch>
                  </pic:blipFill>
                  <pic:spPr>
                    <a:xfrm>
                      <a:off x="0" y="0"/>
                      <a:ext cx="3396615" cy="1822450"/>
                    </a:xfrm>
                    <a:prstGeom prst="rect">
                      <a:avLst/>
                    </a:prstGeom>
                  </pic:spPr>
                </pic:pic>
              </a:graphicData>
            </a:graphic>
          </wp:inline>
        </w:drawing>
      </w:r>
    </w:p>
    <w:p>
      <w:pPr>
        <w:spacing w:line="360" w:lineRule="auto"/>
        <w:ind w:firstLine="420" w:firstLineChars="200"/>
        <w:jc w:val="center"/>
        <w:rPr>
          <w:rFonts w:ascii="宋体" w:hAnsi="宋体" w:cs="楷体_GB2312"/>
          <w:bCs/>
          <w:szCs w:val="21"/>
        </w:rPr>
      </w:pPr>
      <w:r>
        <w:rPr>
          <w:rFonts w:hint="eastAsia" w:ascii="宋体" w:hAnsi="宋体" w:cs="楷体_GB2312"/>
          <w:bCs/>
          <w:szCs w:val="21"/>
        </w:rPr>
        <w:t>图5.2  植草沟横断面图（来源：网络摘得）</w:t>
      </w:r>
    </w:p>
    <w:p>
      <w:pPr>
        <w:spacing w:line="360" w:lineRule="auto"/>
        <w:ind w:firstLine="480" w:firstLineChars="200"/>
        <w:jc w:val="left"/>
        <w:rPr>
          <w:rFonts w:ascii="宋体" w:hAnsi="宋体" w:cs="楷体_GB2312"/>
          <w:bCs/>
          <w:sz w:val="24"/>
        </w:rPr>
      </w:pPr>
      <w:r>
        <w:rPr>
          <w:rFonts w:hint="eastAsia" w:ascii="宋体" w:hAnsi="宋体" w:cs="楷体_GB2312"/>
          <w:bCs/>
          <w:sz w:val="24"/>
        </w:rPr>
        <w:t>项目设计下凹绿地，自上而下为中粗砂层和碎石层，低于200mm是中粗砂层厚度要求，碎石层厚度被要求在300mm以下。雨水进入绿地需要通过凹槽分散进入绿地，如果无法分散进入绿地，在密集进入时必须用碎石或巨石缓冲车道。并且安装区域必须符合铺设要求，在大雨时，必须要分散不能被冲走。</w:t>
      </w:r>
    </w:p>
    <w:p>
      <w:pPr>
        <w:spacing w:line="360" w:lineRule="auto"/>
        <w:ind w:firstLine="480" w:firstLineChars="200"/>
        <w:jc w:val="left"/>
        <w:rPr>
          <w:rFonts w:ascii="宋体" w:hAnsi="宋体" w:cs="宋体"/>
          <w:sz w:val="24"/>
        </w:rPr>
      </w:pPr>
      <w:r>
        <w:rPr>
          <w:rFonts w:hint="eastAsia" w:ascii="宋体" w:hAnsi="宋体" w:cs="宋体"/>
          <w:sz w:val="24"/>
        </w:rPr>
        <w:t>生态树池也属于海绵城市建设的主要形式概念。相比之下，生态树池的面积略小于绿化带，具有分布灵活、位置在道路两边的优势，在这里可以打造一个生态树池，在这里，你可以打造一个生态树池，在这里，你可以通过生态树池的建设，让你的生态环境更加优美，让你的生态环境更加优美。外面的雨水从路边渗透进来，直接流入生态树池。碎石经过石子的过滤，在雨水的作用下渗透到地底。当生态树池中的雨水趋近饱满快要溢出时，过多的雨水直接进入溢流井。直接从街道的下水道排出。生态树池见图5.3。</w:t>
      </w:r>
    </w:p>
    <w:p>
      <w:pPr>
        <w:spacing w:line="360" w:lineRule="auto"/>
        <w:ind w:firstLine="480" w:firstLineChars="200"/>
        <w:jc w:val="center"/>
        <w:rPr>
          <w:rFonts w:ascii="宋体" w:hAnsi="宋体" w:cs="宋体"/>
          <w:sz w:val="24"/>
        </w:rPr>
      </w:pPr>
      <w:r>
        <w:rPr>
          <w:rFonts w:hint="eastAsia" w:ascii="宋体" w:hAnsi="宋体" w:cs="宋体"/>
          <w:sz w:val="24"/>
        </w:rPr>
        <w:t xml:space="preserve"> </w:t>
      </w:r>
      <w:r>
        <w:rPr>
          <w:rFonts w:hint="eastAsia" w:ascii="宋体" w:hAnsi="宋体" w:cs="宋体"/>
          <w:sz w:val="24"/>
        </w:rPr>
        <w:drawing>
          <wp:inline distT="0" distB="0" distL="114300" distR="114300">
            <wp:extent cx="3462655" cy="1924050"/>
            <wp:effectExtent l="0" t="0" r="4445" b="0"/>
            <wp:docPr id="20" name="图片 20" descr="QQ图片2020051003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QQ图片20200510033150"/>
                    <pic:cNvPicPr>
                      <a:picLocks noChangeAspect="1"/>
                    </pic:cNvPicPr>
                  </pic:nvPicPr>
                  <pic:blipFill>
                    <a:blip r:embed="rId28" cstate="print"/>
                    <a:srcRect l="6631" t="50814" r="19532" b="2050"/>
                    <a:stretch>
                      <a:fillRect/>
                    </a:stretch>
                  </pic:blipFill>
                  <pic:spPr>
                    <a:xfrm>
                      <a:off x="0" y="0"/>
                      <a:ext cx="3462655" cy="1924050"/>
                    </a:xfrm>
                    <a:prstGeom prst="rect">
                      <a:avLst/>
                    </a:prstGeom>
                  </pic:spPr>
                </pic:pic>
              </a:graphicData>
            </a:graphic>
          </wp:inline>
        </w:drawing>
      </w:r>
    </w:p>
    <w:p>
      <w:pPr>
        <w:spacing w:line="360" w:lineRule="auto"/>
        <w:ind w:firstLine="420" w:firstLineChars="200"/>
        <w:jc w:val="center"/>
        <w:rPr>
          <w:rFonts w:ascii="宋体" w:hAnsi="宋体" w:cs="宋体"/>
          <w:szCs w:val="21"/>
        </w:rPr>
      </w:pPr>
      <w:r>
        <w:rPr>
          <w:rFonts w:hint="eastAsia" w:ascii="宋体" w:hAnsi="宋体" w:cs="宋体"/>
          <w:szCs w:val="21"/>
        </w:rPr>
        <w:t>图5.3  生态树池图</w:t>
      </w:r>
    </w:p>
    <w:p>
      <w:pPr>
        <w:spacing w:line="360" w:lineRule="auto"/>
        <w:ind w:firstLine="480" w:firstLineChars="200"/>
        <w:jc w:val="left"/>
        <w:rPr>
          <w:rFonts w:ascii="Arial" w:hAnsi="Arial" w:cs="Arial"/>
          <w:color w:val="191919"/>
          <w:sz w:val="24"/>
          <w:shd w:val="clear" w:color="auto" w:fill="FFFFFF"/>
        </w:rPr>
      </w:pPr>
      <w:r>
        <w:rPr>
          <w:rFonts w:hint="eastAsia" w:ascii="Arial" w:hAnsi="Arial" w:eastAsia="Arial" w:cs="Arial"/>
          <w:color w:val="191919"/>
          <w:sz w:val="24"/>
          <w:shd w:val="clear" w:color="auto" w:fill="FFFFFF"/>
        </w:rPr>
        <w:t>避免的雨污水污染,实现水的循环利用。人工建设雨水蓄水池</w:t>
      </w:r>
      <w:r>
        <w:rPr>
          <w:rFonts w:hint="eastAsia" w:ascii="Arial" w:hAnsi="Arial" w:cs="Arial"/>
          <w:color w:val="191919"/>
          <w:sz w:val="24"/>
          <w:shd w:val="clear" w:color="auto" w:fill="FFFFFF"/>
        </w:rPr>
        <w:t>是</w:t>
      </w:r>
      <w:r>
        <w:rPr>
          <w:rFonts w:hint="eastAsia" w:ascii="Arial" w:hAnsi="Arial" w:eastAsia="Arial" w:cs="Arial"/>
          <w:color w:val="191919"/>
          <w:sz w:val="24"/>
          <w:shd w:val="clear" w:color="auto" w:fill="FFFFFF"/>
        </w:rPr>
        <w:t>建设海绵城市</w:t>
      </w:r>
      <w:r>
        <w:rPr>
          <w:rFonts w:hint="eastAsia" w:ascii="Arial" w:hAnsi="Arial" w:cs="Arial"/>
          <w:color w:val="191919"/>
          <w:sz w:val="24"/>
          <w:shd w:val="clear" w:color="auto" w:fill="FFFFFF"/>
        </w:rPr>
        <w:t>必不可少的一步</w:t>
      </w:r>
      <w:r>
        <w:rPr>
          <w:rFonts w:hint="eastAsia" w:ascii="Arial" w:hAnsi="Arial" w:eastAsia="Arial" w:cs="Arial"/>
          <w:color w:val="191919"/>
          <w:sz w:val="24"/>
          <w:shd w:val="clear" w:color="auto" w:fill="FFFFFF"/>
        </w:rPr>
        <w:t>，临时储存并积极分配雨水。雨水蓄水池一般安装在街道空间、停车场、绿地、公园和市政水系等公共区域下，收集和储存雨水</w:t>
      </w:r>
      <w:r>
        <w:rPr>
          <w:rFonts w:hint="eastAsia" w:ascii="Arial" w:hAnsi="Arial" w:cs="Arial"/>
          <w:color w:val="191919"/>
          <w:sz w:val="24"/>
          <w:shd w:val="clear" w:color="auto" w:fill="FFFFFF"/>
        </w:rPr>
        <w:t>是其目的</w:t>
      </w:r>
      <w:r>
        <w:rPr>
          <w:rFonts w:hint="eastAsia" w:ascii="Arial" w:hAnsi="Arial" w:eastAsia="Arial" w:cs="Arial"/>
          <w:color w:val="191919"/>
          <w:sz w:val="24"/>
          <w:shd w:val="clear" w:color="auto" w:fill="FFFFFF"/>
        </w:rPr>
        <w:t>。</w:t>
      </w:r>
      <w:r>
        <w:rPr>
          <w:rFonts w:hint="eastAsia" w:ascii="Arial" w:hAnsi="Arial" w:cs="Arial"/>
          <w:color w:val="191919"/>
          <w:sz w:val="24"/>
          <w:shd w:val="clear" w:color="auto" w:fill="FFFFFF"/>
        </w:rPr>
        <w:t>地下末端蓄水池样式见图</w:t>
      </w:r>
      <w:r>
        <w:rPr>
          <w:rFonts w:hint="eastAsia" w:asciiTheme="minorEastAsia" w:hAnsiTheme="minorEastAsia" w:eastAsiaTheme="minorEastAsia" w:cstheme="minorEastAsia"/>
          <w:color w:val="191919"/>
          <w:sz w:val="24"/>
          <w:shd w:val="clear" w:color="auto" w:fill="FFFFFF"/>
        </w:rPr>
        <w:t>5.4</w:t>
      </w:r>
      <w:r>
        <w:rPr>
          <w:rFonts w:hint="eastAsia" w:ascii="Arial" w:hAnsi="Arial" w:cs="Arial"/>
          <w:color w:val="191919"/>
          <w:sz w:val="24"/>
          <w:shd w:val="clear" w:color="auto" w:fill="FFFFFF"/>
        </w:rPr>
        <w:t>。</w:t>
      </w:r>
    </w:p>
    <w:p>
      <w:pPr>
        <w:spacing w:line="360" w:lineRule="auto"/>
        <w:ind w:firstLine="480" w:firstLineChars="200"/>
        <w:jc w:val="center"/>
        <w:rPr>
          <w:rFonts w:ascii="Arial" w:hAnsi="Arial" w:cs="Arial"/>
          <w:color w:val="191919"/>
          <w:sz w:val="24"/>
          <w:shd w:val="clear" w:color="auto" w:fill="FFFFFF"/>
        </w:rPr>
      </w:pPr>
      <w:r>
        <w:rPr>
          <w:rFonts w:hint="eastAsia" w:ascii="Arial" w:hAnsi="Arial" w:cs="Arial"/>
          <w:color w:val="191919"/>
          <w:sz w:val="24"/>
          <w:shd w:val="clear" w:color="auto" w:fill="FFFFFF"/>
        </w:rPr>
        <w:drawing>
          <wp:inline distT="0" distB="0" distL="114300" distR="114300">
            <wp:extent cx="3649345" cy="1941195"/>
            <wp:effectExtent l="0" t="0" r="8255" b="1905"/>
            <wp:docPr id="19" name="图片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
                    <pic:cNvPicPr>
                      <a:picLocks noChangeAspect="1"/>
                    </pic:cNvPicPr>
                  </pic:nvPicPr>
                  <pic:blipFill>
                    <a:blip r:embed="rId29" cstate="print"/>
                    <a:stretch>
                      <a:fillRect/>
                    </a:stretch>
                  </pic:blipFill>
                  <pic:spPr>
                    <a:xfrm>
                      <a:off x="0" y="0"/>
                      <a:ext cx="3649345" cy="1941195"/>
                    </a:xfrm>
                    <a:prstGeom prst="rect">
                      <a:avLst/>
                    </a:prstGeom>
                  </pic:spPr>
                </pic:pic>
              </a:graphicData>
            </a:graphic>
          </wp:inline>
        </w:drawing>
      </w:r>
    </w:p>
    <w:p>
      <w:pPr>
        <w:spacing w:line="360" w:lineRule="auto"/>
        <w:ind w:firstLine="420" w:firstLineChars="200"/>
        <w:jc w:val="center"/>
        <w:rPr>
          <w:rFonts w:asciiTheme="minorEastAsia" w:hAnsiTheme="minorEastAsia" w:eastAsiaTheme="minorEastAsia" w:cstheme="minorEastAsia"/>
          <w:color w:val="191919"/>
          <w:szCs w:val="21"/>
          <w:shd w:val="clear" w:color="auto" w:fill="FFFFFF"/>
        </w:rPr>
      </w:pPr>
      <w:r>
        <w:rPr>
          <w:rFonts w:hint="eastAsia" w:asciiTheme="minorEastAsia" w:hAnsiTheme="minorEastAsia" w:eastAsiaTheme="minorEastAsia" w:cstheme="minorEastAsia"/>
          <w:color w:val="191919"/>
          <w:szCs w:val="21"/>
          <w:shd w:val="clear" w:color="auto" w:fill="FFFFFF"/>
        </w:rPr>
        <w:t>图5.4  地下蓄水池（来源：网络摘得）</w:t>
      </w:r>
    </w:p>
    <w:p>
      <w:pPr>
        <w:spacing w:line="360" w:lineRule="auto"/>
        <w:ind w:firstLine="480" w:firstLineChars="200"/>
        <w:jc w:val="left"/>
        <w:rPr>
          <w:rFonts w:ascii="宋体" w:hAnsi="宋体" w:cs="楷体_GB2312"/>
          <w:bCs/>
          <w:sz w:val="24"/>
        </w:rPr>
      </w:pPr>
      <w:r>
        <w:rPr>
          <w:rFonts w:hint="eastAsia" w:ascii="宋体" w:hAnsi="宋体" w:cs="楷体_GB2312"/>
          <w:bCs/>
          <w:sz w:val="24"/>
        </w:rPr>
        <w:t>本项目是一条城市道路，植草沟可以提高蓄水和绿化的效果，一起提高蓄水和绿化效果。想要调节周围空气的湿度和温度、改善小气候，可以放置雨水花园。生态树池可以减轻城市热岛效应的影响，具体的布置情况见表5.1。根据鸿业暴雨软件LID自动推算结果，年径流总量控制率提升到80%，污染物去除率提高到49%，满足了第三章的要求。具体透水铺装和生态树池在汇水区域的铺设面积见附件5《LID设施面积明细表》。</w:t>
      </w:r>
    </w:p>
    <w:p>
      <w:pPr>
        <w:spacing w:line="360" w:lineRule="auto"/>
        <w:ind w:firstLine="420" w:firstLineChars="200"/>
        <w:jc w:val="center"/>
        <w:rPr>
          <w:rFonts w:ascii="宋体" w:hAnsi="宋体" w:cs="楷体_GB2312"/>
          <w:bCs/>
          <w:szCs w:val="21"/>
        </w:rPr>
      </w:pPr>
      <w:r>
        <w:rPr>
          <w:rFonts w:hint="eastAsia" w:ascii="宋体" w:hAnsi="宋体" w:cs="楷体_GB2312"/>
          <w:bCs/>
          <w:szCs w:val="21"/>
        </w:rPr>
        <w:t>表5.1  软件采用措施及用量</w:t>
      </w:r>
    </w:p>
    <w:tbl>
      <w:tblPr>
        <w:tblStyle w:val="17"/>
        <w:tblpPr w:leftFromText="180" w:rightFromText="180" w:vertAnchor="text" w:horzAnchor="page" w:tblpX="2273" w:tblpY="226"/>
        <w:tblOverlap w:val="never"/>
        <w:tblW w:w="880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65"/>
        <w:gridCol w:w="2211"/>
        <w:gridCol w:w="2212"/>
        <w:gridCol w:w="221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92" w:hRule="atLeast"/>
        </w:trPr>
        <w:tc>
          <w:tcPr>
            <w:tcW w:w="2165" w:type="dxa"/>
            <w:tcBorders>
              <w:top w:val="single" w:color="auto" w:sz="18" w:space="0"/>
              <w:bottom w:val="single" w:color="auto" w:sz="4" w:space="0"/>
            </w:tcBorders>
            <w:shd w:val="clear" w:color="auto" w:fill="FFFFFF"/>
            <w:vAlign w:val="center"/>
          </w:tcPr>
          <w:p>
            <w:pPr>
              <w:widowControl/>
              <w:jc w:val="center"/>
              <w:rPr>
                <w:rFonts w:hint="eastAsia" w:ascii="宋体" w:hAnsi="宋体" w:cs="楷体_GB2312"/>
                <w:bCs/>
                <w:color w:val="000000"/>
                <w:szCs w:val="21"/>
              </w:rPr>
            </w:pPr>
            <w:bookmarkStart w:id="0" w:name="_GoBack"/>
            <w:bookmarkEnd w:id="0"/>
            <w:r>
              <w:rPr>
                <w:rFonts w:hint="eastAsia" w:ascii="宋体" w:hAnsi="宋体" w:cs="楷体_GB2312"/>
                <w:bCs/>
                <w:color w:val="000000"/>
                <w:szCs w:val="21"/>
              </w:rPr>
              <w:t>LID设施名称</w:t>
            </w:r>
          </w:p>
        </w:tc>
        <w:tc>
          <w:tcPr>
            <w:tcW w:w="2211" w:type="dxa"/>
            <w:tcBorders>
              <w:top w:val="single" w:color="auto" w:sz="18" w:space="0"/>
              <w:bottom w:val="single" w:color="auto" w:sz="4" w:space="0"/>
            </w:tcBorders>
            <w:shd w:val="clear" w:color="auto" w:fill="FFFFFF"/>
            <w:vAlign w:val="center"/>
          </w:tcPr>
          <w:p>
            <w:pPr>
              <w:widowControl/>
              <w:jc w:val="center"/>
              <w:rPr>
                <w:rFonts w:hint="eastAsia" w:ascii="宋体" w:hAnsi="宋体" w:cs="楷体_GB2312"/>
                <w:bCs/>
                <w:color w:val="000000"/>
                <w:szCs w:val="21"/>
              </w:rPr>
            </w:pPr>
            <w:r>
              <w:rPr>
                <w:rFonts w:hint="eastAsia" w:ascii="宋体" w:hAnsi="宋体" w:cs="楷体_GB2312"/>
                <w:bCs/>
                <w:color w:val="000000"/>
                <w:szCs w:val="21"/>
              </w:rPr>
              <w:t>推荐面积（m²）</w:t>
            </w:r>
          </w:p>
        </w:tc>
        <w:tc>
          <w:tcPr>
            <w:tcW w:w="2212" w:type="dxa"/>
            <w:tcBorders>
              <w:top w:val="single" w:color="auto" w:sz="18" w:space="0"/>
              <w:bottom w:val="single" w:color="auto" w:sz="4" w:space="0"/>
            </w:tcBorders>
            <w:shd w:val="clear" w:color="auto" w:fill="FFFFFF"/>
            <w:vAlign w:val="center"/>
          </w:tcPr>
          <w:p>
            <w:pPr>
              <w:widowControl/>
              <w:jc w:val="center"/>
              <w:rPr>
                <w:rFonts w:hint="eastAsia" w:ascii="宋体" w:hAnsi="宋体" w:cs="楷体_GB2312"/>
                <w:bCs/>
                <w:color w:val="000000"/>
                <w:szCs w:val="21"/>
              </w:rPr>
            </w:pPr>
            <w:r>
              <w:rPr>
                <w:rFonts w:hint="eastAsia" w:ascii="宋体" w:hAnsi="宋体" w:cs="楷体_GB2312"/>
                <w:bCs/>
                <w:color w:val="000000"/>
                <w:szCs w:val="21"/>
              </w:rPr>
              <w:t>布置面积（m²）</w:t>
            </w:r>
          </w:p>
        </w:tc>
        <w:tc>
          <w:tcPr>
            <w:tcW w:w="2212" w:type="dxa"/>
            <w:tcBorders>
              <w:top w:val="single" w:color="auto" w:sz="18" w:space="0"/>
              <w:bottom w:val="single" w:color="auto" w:sz="4" w:space="0"/>
            </w:tcBorders>
            <w:shd w:val="clear" w:color="auto" w:fill="FFFFFF"/>
            <w:vAlign w:val="center"/>
          </w:tcPr>
          <w:p>
            <w:pPr>
              <w:widowControl/>
              <w:jc w:val="center"/>
              <w:rPr>
                <w:rFonts w:hint="eastAsia" w:ascii="宋体" w:hAnsi="宋体" w:cs="楷体_GB2312"/>
                <w:bCs/>
                <w:color w:val="000000"/>
                <w:szCs w:val="21"/>
              </w:rPr>
            </w:pPr>
            <w:r>
              <w:rPr>
                <w:rFonts w:hint="eastAsia" w:ascii="宋体" w:hAnsi="宋体" w:cs="楷体_GB2312"/>
                <w:bCs/>
                <w:color w:val="000000"/>
                <w:szCs w:val="21"/>
              </w:rPr>
              <w:t>剩余面积（m²）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8" w:hRule="atLeast"/>
        </w:trPr>
        <w:tc>
          <w:tcPr>
            <w:tcW w:w="2165" w:type="dxa"/>
            <w:tcBorders>
              <w:top w:val="single" w:color="auto" w:sz="4"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植草沟</w:t>
            </w:r>
          </w:p>
        </w:tc>
        <w:tc>
          <w:tcPr>
            <w:tcW w:w="2211" w:type="dxa"/>
            <w:tcBorders>
              <w:top w:val="single" w:color="auto" w:sz="4"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1140</w:t>
            </w:r>
          </w:p>
        </w:tc>
        <w:tc>
          <w:tcPr>
            <w:tcW w:w="2212" w:type="dxa"/>
            <w:tcBorders>
              <w:top w:val="single" w:color="auto" w:sz="4"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1140.327</w:t>
            </w:r>
          </w:p>
        </w:tc>
        <w:tc>
          <w:tcPr>
            <w:tcW w:w="2212" w:type="dxa"/>
            <w:tcBorders>
              <w:top w:val="single" w:color="auto" w:sz="4"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8"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透水铺装</w:t>
            </w:r>
          </w:p>
        </w:tc>
        <w:tc>
          <w:tcPr>
            <w:tcW w:w="2211"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1825</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1827.82</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0"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雨水花园</w:t>
            </w:r>
          </w:p>
        </w:tc>
        <w:tc>
          <w:tcPr>
            <w:tcW w:w="2211"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1160</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1165</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0"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雨水花坛</w:t>
            </w:r>
          </w:p>
        </w:tc>
        <w:tc>
          <w:tcPr>
            <w:tcW w:w="2211"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1150</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1155</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0"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生态树池</w:t>
            </w:r>
          </w:p>
        </w:tc>
        <w:tc>
          <w:tcPr>
            <w:tcW w:w="2211"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1130</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1149.45</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0"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自然排水系统</w:t>
            </w:r>
          </w:p>
        </w:tc>
        <w:tc>
          <w:tcPr>
            <w:tcW w:w="2211"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1130</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1133</w:t>
            </w:r>
          </w:p>
        </w:tc>
        <w:tc>
          <w:tcPr>
            <w:tcW w:w="2212"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trPr>
        <w:tc>
          <w:tcPr>
            <w:tcW w:w="2165" w:type="dxa"/>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末端蓄水池（m</w:t>
            </w:r>
            <w:r>
              <w:rPr>
                <w:rFonts w:hint="eastAsia" w:ascii="宋体" w:hAnsi="宋体" w:cs="楷体_GB2312"/>
                <w:bCs/>
                <w:color w:val="000000"/>
                <w:szCs w:val="21"/>
                <w:vertAlign w:val="superscript"/>
              </w:rPr>
              <w:t>3</w:t>
            </w:r>
            <w:r>
              <w:rPr>
                <w:rFonts w:hint="eastAsia" w:ascii="宋体" w:hAnsi="宋体" w:cs="楷体_GB2312"/>
                <w:bCs/>
                <w:color w:val="000000"/>
                <w:szCs w:val="21"/>
              </w:rPr>
              <w:t>）</w:t>
            </w:r>
          </w:p>
        </w:tc>
        <w:tc>
          <w:tcPr>
            <w:tcW w:w="6635" w:type="dxa"/>
            <w:gridSpan w:val="3"/>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334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0" w:hRule="atLeast"/>
        </w:trPr>
        <w:tc>
          <w:tcPr>
            <w:tcW w:w="2165" w:type="dxa"/>
            <w:tcBorders>
              <w:bottom w:val="single" w:color="auto" w:sz="18"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合计（m</w:t>
            </w:r>
            <w:r>
              <w:rPr>
                <w:rFonts w:hint="eastAsia" w:ascii="宋体" w:hAnsi="宋体" w:cs="楷体_GB2312"/>
                <w:bCs/>
                <w:color w:val="000000"/>
                <w:szCs w:val="21"/>
                <w:vertAlign w:val="superscript"/>
              </w:rPr>
              <w:t>2</w:t>
            </w:r>
            <w:r>
              <w:rPr>
                <w:rFonts w:hint="eastAsia" w:ascii="宋体" w:hAnsi="宋体" w:cs="楷体_GB2312"/>
                <w:bCs/>
                <w:color w:val="000000"/>
                <w:szCs w:val="21"/>
              </w:rPr>
              <w:t>）</w:t>
            </w:r>
          </w:p>
        </w:tc>
        <w:tc>
          <w:tcPr>
            <w:tcW w:w="2211" w:type="dxa"/>
            <w:tcBorders>
              <w:bottom w:val="single" w:color="auto" w:sz="18"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7535</w:t>
            </w:r>
          </w:p>
        </w:tc>
        <w:tc>
          <w:tcPr>
            <w:tcW w:w="2212" w:type="dxa"/>
            <w:tcBorders>
              <w:bottom w:val="single" w:color="auto" w:sz="18"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7570.597</w:t>
            </w:r>
          </w:p>
        </w:tc>
        <w:tc>
          <w:tcPr>
            <w:tcW w:w="2212" w:type="dxa"/>
            <w:tcBorders>
              <w:bottom w:val="single" w:color="auto" w:sz="18" w:space="0"/>
            </w:tcBorders>
            <w:shd w:val="clear" w:color="auto" w:fill="FFFFFF"/>
            <w:vAlign w:val="center"/>
          </w:tcPr>
          <w:p>
            <w:pPr>
              <w:widowControl/>
              <w:jc w:val="center"/>
              <w:rPr>
                <w:rFonts w:ascii="宋体" w:hAnsi="宋体" w:cs="楷体_GB2312"/>
                <w:bCs/>
                <w:color w:val="000000"/>
                <w:szCs w:val="21"/>
              </w:rPr>
            </w:pPr>
            <w:r>
              <w:rPr>
                <w:rFonts w:hint="eastAsia" w:ascii="宋体" w:hAnsi="宋体" w:cs="楷体_GB2312"/>
                <w:bCs/>
                <w:color w:val="000000"/>
                <w:szCs w:val="21"/>
              </w:rPr>
              <w:t>0</w:t>
            </w:r>
          </w:p>
        </w:tc>
      </w:tr>
    </w:tbl>
    <w:p>
      <w:pPr>
        <w:widowControl/>
        <w:jc w:val="center"/>
        <w:rPr>
          <w:rFonts w:ascii="宋体" w:hAnsi="宋体" w:cs="楷体_GB2312"/>
          <w:bCs/>
          <w:sz w:val="24"/>
        </w:rPr>
      </w:pPr>
    </w:p>
    <w:p>
      <w:pPr>
        <w:widowControl/>
        <w:jc w:val="center"/>
        <w:rPr>
          <w:rFonts w:ascii="宋体" w:hAnsi="宋体" w:cs="楷体_GB2312"/>
          <w:bCs/>
          <w:sz w:val="24"/>
        </w:rPr>
      </w:pPr>
      <w:r>
        <w:rPr>
          <w:rFonts w:ascii="宋体" w:hAnsi="宋体" w:cs="楷体_GB2312"/>
          <w:bCs/>
          <w:sz w:val="24"/>
        </w:rPr>
        <w:br w:type="page"/>
      </w:r>
    </w:p>
    <w:p>
      <w:pPr>
        <w:pStyle w:val="24"/>
        <w:numPr>
          <w:ilvl w:val="0"/>
          <w:numId w:val="1"/>
        </w:numPr>
        <w:spacing w:beforeLines="50" w:afterLines="50" w:line="360" w:lineRule="auto"/>
        <w:ind w:left="448" w:hanging="448" w:firstLineChars="0"/>
        <w:rPr>
          <w:rFonts w:ascii="黑体" w:hAnsi="宋体" w:eastAsia="黑体"/>
          <w:b/>
          <w:bCs/>
          <w:sz w:val="30"/>
        </w:rPr>
      </w:pPr>
      <w:r>
        <w:rPr>
          <w:rFonts w:hint="eastAsia" w:ascii="黑体" w:eastAsia="黑体"/>
          <w:b/>
          <w:bCs/>
          <w:sz w:val="30"/>
        </w:rPr>
        <w:t xml:space="preserve">总结与展望 </w:t>
      </w:r>
    </w:p>
    <w:p>
      <w:pPr>
        <w:spacing w:line="360" w:lineRule="auto"/>
        <w:ind w:firstLine="480" w:firstLineChars="200"/>
        <w:jc w:val="left"/>
        <w:rPr>
          <w:rFonts w:ascii="宋体" w:hAnsi="宋体" w:cs="楷体_GB2312"/>
          <w:bCs/>
          <w:sz w:val="24"/>
        </w:rPr>
      </w:pPr>
      <w:r>
        <w:rPr>
          <w:rFonts w:hint="eastAsia" w:ascii="宋体" w:hAnsi="宋体" w:cs="楷体_GB2312"/>
          <w:bCs/>
          <w:sz w:val="24"/>
        </w:rPr>
        <w:t>我国海绵城市建设目前处于初级阶段，所以不论是研究还是建设现状大都处于理论阶段。本文从海绵城市的概念入手，引出海绵城市最重要的部分——评价体系，根据国内外不同的评价体系指标确定了多种评价方法。随后利用鸿业暴雨软件对南京市丹凤街工程进行模拟评价，再得出不符合南京市要求后，加入一些措施来改善情况。最后模拟的情况符合了南京市的标准。从这篇论文可以得到以下结论：</w:t>
      </w:r>
    </w:p>
    <w:p>
      <w:pPr>
        <w:numPr>
          <w:ilvl w:val="0"/>
          <w:numId w:val="9"/>
        </w:numPr>
        <w:spacing w:line="360" w:lineRule="auto"/>
        <w:ind w:left="5" w:firstLine="415"/>
        <w:jc w:val="left"/>
        <w:rPr>
          <w:rFonts w:ascii="宋体" w:hAnsi="宋体" w:cs="楷体_GB2312"/>
          <w:bCs/>
          <w:sz w:val="24"/>
        </w:rPr>
      </w:pPr>
      <w:r>
        <w:rPr>
          <w:rFonts w:hint="eastAsia" w:ascii="宋体" w:hAnsi="宋体" w:cs="楷体_GB2312"/>
          <w:bCs/>
          <w:sz w:val="24"/>
        </w:rPr>
        <w:t>海绵城市建设要积极吸取国外建设的经验，将海绵城市建设纳入正轨。然而，中国的国土面积大，各地区的条件也不尽相同。因此，在中国建设海绵城市，不应该让其他国家的雨水系统原封不动地存在</w:t>
      </w:r>
      <w:r>
        <w:rPr>
          <w:rFonts w:ascii="宋体" w:hAnsi="宋体" w:cs="楷体_GB2312"/>
          <w:bCs/>
          <w:sz w:val="24"/>
        </w:rPr>
        <w:t>。</w:t>
      </w:r>
    </w:p>
    <w:p>
      <w:pPr>
        <w:numPr>
          <w:ilvl w:val="0"/>
          <w:numId w:val="9"/>
        </w:numPr>
        <w:spacing w:line="360" w:lineRule="auto"/>
        <w:ind w:left="0" w:firstLine="420"/>
        <w:jc w:val="left"/>
        <w:rPr>
          <w:sz w:val="24"/>
        </w:rPr>
      </w:pPr>
      <w:r>
        <w:rPr>
          <w:rFonts w:hint="eastAsia" w:ascii="宋体" w:hAnsi="宋体" w:cs="楷体_GB2312"/>
          <w:bCs/>
          <w:sz w:val="24"/>
        </w:rPr>
        <w:t>海绵城市建设的重点在于评价的体系和指标。在评价我国的海绵城市工程时，应按照各地出台的政府文件严格管理。2016年，已经公布了14个第二海绵城市的建设试点，这14个研究对象为分布在全国各省市的省会城市。这两批海绵城市的实验计划城市适合调查不同气候带、地质条件和水文特征对海绵城市建设的影响，如何改进规划和设计方案、调整植物结构对海绵城市建设的影响是非常有利的。它为其他城市建设海绵城市时提供了调研指导和基础数据。</w:t>
      </w:r>
    </w:p>
    <w:p>
      <w:pPr>
        <w:numPr>
          <w:ilvl w:val="0"/>
          <w:numId w:val="9"/>
        </w:numPr>
        <w:spacing w:line="360" w:lineRule="auto"/>
        <w:ind w:left="0" w:firstLine="420"/>
        <w:jc w:val="left"/>
        <w:rPr>
          <w:rFonts w:ascii="宋体" w:hAnsi="宋体" w:cs="宋体"/>
          <w:sz w:val="24"/>
        </w:rPr>
      </w:pPr>
      <w:r>
        <w:rPr>
          <w:rFonts w:hint="eastAsia"/>
          <w:sz w:val="24"/>
        </w:rPr>
        <w:t>利用软件模拟或许会因为操作有些许误差，但在科技的发展下我们可以多利用软件进行评价和模拟。软件考虑的更加全面，若是结果不满足要求，也可以根据软件的推算进行改善。我们可以利用软件将生态树池、植草沟、下凹式绿地和蓄水池等海绵城市常见的改进措施和工程结合用以改进。</w:t>
      </w:r>
    </w:p>
    <w:p>
      <w:pPr>
        <w:spacing w:line="360" w:lineRule="auto"/>
        <w:ind w:firstLine="480" w:firstLineChars="200"/>
        <w:jc w:val="left"/>
        <w:rPr>
          <w:rFonts w:ascii="宋体" w:hAnsi="宋体" w:cs="宋体"/>
          <w:sz w:val="24"/>
        </w:rPr>
      </w:pPr>
      <w:r>
        <w:rPr>
          <w:rFonts w:hint="eastAsia" w:ascii="宋体" w:hAnsi="宋体" w:cs="宋体"/>
          <w:sz w:val="24"/>
        </w:rPr>
        <w:t>为了对海绵城市建设提供法律援助和政治保护，</w:t>
      </w:r>
      <w:r>
        <w:rPr>
          <w:rFonts w:ascii="宋体" w:hAnsi="宋体" w:cs="宋体"/>
          <w:sz w:val="24"/>
        </w:rPr>
        <w:t>我国有关部门</w:t>
      </w:r>
      <w:r>
        <w:rPr>
          <w:rFonts w:hint="eastAsia" w:ascii="宋体" w:hAnsi="宋体" w:cs="宋体"/>
          <w:sz w:val="24"/>
        </w:rPr>
        <w:t>应该建立和改善海绵城市建设相关的法律、规定。海绵城市的理念不仅用于城市的建设和发展，还应该让每一个公民都要有“我想学习海绵城市的理念”的想法，使之成为全体市民的思考方式和文化习惯。为了更好更快地实现中国美好梦想的梦想，我国必须支持国家政治，改善制度，促进制度创新。</w:t>
      </w: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jc w:val="center"/>
        <w:rPr>
          <w:rFonts w:ascii="黑体" w:hAnsi="宋体" w:eastAsia="黑体"/>
          <w:color w:val="0000FF"/>
          <w:sz w:val="30"/>
        </w:rPr>
      </w:pPr>
      <w:r>
        <w:rPr>
          <w:rFonts w:hint="eastAsia" w:ascii="黑体" w:hAnsi="宋体" w:eastAsia="黑体"/>
          <w:color w:val="000000"/>
          <w:sz w:val="30"/>
        </w:rPr>
        <w:t>结束语</w:t>
      </w:r>
    </w:p>
    <w:p>
      <w:pPr>
        <w:spacing w:line="360" w:lineRule="auto"/>
        <w:ind w:firstLine="600" w:firstLineChars="200"/>
        <w:jc w:val="left"/>
        <w:rPr>
          <w:rFonts w:ascii="宋体" w:hAnsi="宋体" w:cs="楷体_GB2312"/>
          <w:bCs/>
          <w:sz w:val="30"/>
          <w:szCs w:val="30"/>
        </w:rPr>
      </w:pPr>
    </w:p>
    <w:p>
      <w:pPr>
        <w:spacing w:line="360" w:lineRule="auto"/>
        <w:ind w:firstLine="480" w:firstLineChars="200"/>
        <w:jc w:val="left"/>
        <w:rPr>
          <w:rFonts w:ascii="宋体" w:hAnsi="宋体" w:cs="楷体_GB2312"/>
          <w:bCs/>
          <w:sz w:val="24"/>
        </w:rPr>
      </w:pPr>
      <w:r>
        <w:rPr>
          <w:rFonts w:ascii="宋体" w:hAnsi="宋体" w:cs="楷体_GB2312"/>
          <w:bCs/>
          <w:sz w:val="24"/>
        </w:rPr>
        <w:t>经过了两个多月的学习和工作，</w:t>
      </w:r>
      <w:r>
        <w:rPr>
          <w:rFonts w:hint="eastAsia" w:ascii="宋体" w:hAnsi="宋体" w:cs="楷体_GB2312"/>
          <w:bCs/>
          <w:sz w:val="24"/>
        </w:rPr>
        <w:t>学生</w:t>
      </w:r>
      <w:r>
        <w:rPr>
          <w:rFonts w:ascii="宋体" w:hAnsi="宋体" w:cs="楷体_GB2312"/>
          <w:bCs/>
          <w:sz w:val="24"/>
        </w:rPr>
        <w:t>完成了《</w:t>
      </w:r>
      <w:r>
        <w:rPr>
          <w:rFonts w:hint="eastAsia" w:ascii="宋体" w:hAnsi="宋体" w:cs="楷体_GB2312"/>
          <w:bCs/>
          <w:sz w:val="24"/>
        </w:rPr>
        <w:t>基于海绵城市理念的南京市丹凤街傅厚岗到北京东路段评价与改善</w:t>
      </w:r>
      <w:r>
        <w:rPr>
          <w:rFonts w:ascii="宋体" w:hAnsi="宋体" w:cs="楷体_GB2312"/>
          <w:bCs/>
          <w:sz w:val="24"/>
        </w:rPr>
        <w:t>》的论文。从开始接到论文题目到系统的实现，再到论文的完成，每走一步对我来说都是新的尝试与挑战。在这段时间里，我学到了很多知识也有很多感受</w:t>
      </w:r>
      <w:r>
        <w:rPr>
          <w:rFonts w:hint="eastAsia" w:ascii="宋体" w:hAnsi="宋体" w:cs="楷体_GB2312"/>
          <w:bCs/>
          <w:sz w:val="24"/>
        </w:rPr>
        <w:t>。</w:t>
      </w:r>
      <w:r>
        <w:rPr>
          <w:rFonts w:ascii="宋体" w:hAnsi="宋体" w:cs="楷体_GB2312"/>
          <w:bCs/>
          <w:sz w:val="24"/>
        </w:rPr>
        <w:t>从对</w:t>
      </w:r>
      <w:r>
        <w:rPr>
          <w:rFonts w:hint="eastAsia" w:ascii="宋体" w:hAnsi="宋体" w:cs="楷体_GB2312"/>
          <w:bCs/>
          <w:sz w:val="24"/>
        </w:rPr>
        <w:t>海绵城市</w:t>
      </w:r>
      <w:r>
        <w:rPr>
          <w:rFonts w:ascii="宋体" w:hAnsi="宋体" w:cs="楷体_GB2312"/>
          <w:bCs/>
          <w:sz w:val="24"/>
        </w:rPr>
        <w:t>一无所知，对</w:t>
      </w:r>
      <w:r>
        <w:rPr>
          <w:rFonts w:hint="eastAsia" w:ascii="宋体" w:hAnsi="宋体" w:cs="楷体_GB2312"/>
          <w:bCs/>
          <w:sz w:val="24"/>
        </w:rPr>
        <w:t>SWMM</w:t>
      </w:r>
      <w:r>
        <w:rPr>
          <w:rFonts w:ascii="宋体" w:hAnsi="宋体" w:cs="楷体_GB2312"/>
          <w:bCs/>
          <w:sz w:val="24"/>
        </w:rPr>
        <w:t>等相关</w:t>
      </w:r>
      <w:r>
        <w:rPr>
          <w:rFonts w:hint="eastAsia" w:ascii="宋体" w:hAnsi="宋体" w:cs="楷体_GB2312"/>
          <w:bCs/>
          <w:sz w:val="24"/>
        </w:rPr>
        <w:t>模拟</w:t>
      </w:r>
      <w:r>
        <w:rPr>
          <w:rFonts w:ascii="宋体" w:hAnsi="宋体" w:cs="楷体_GB2312"/>
          <w:bCs/>
          <w:sz w:val="24"/>
        </w:rPr>
        <w:t>技术很不了解的状态</w:t>
      </w:r>
      <w:r>
        <w:rPr>
          <w:rFonts w:hint="eastAsia" w:ascii="宋体" w:hAnsi="宋体" w:cs="楷体_GB2312"/>
          <w:bCs/>
          <w:sz w:val="24"/>
        </w:rPr>
        <w:t>；到</w:t>
      </w:r>
      <w:r>
        <w:rPr>
          <w:rFonts w:ascii="宋体" w:hAnsi="宋体" w:cs="楷体_GB2312"/>
          <w:bCs/>
          <w:sz w:val="24"/>
        </w:rPr>
        <w:t>开始独立的学习，查看相关的资料和书籍，让自己头脑中模糊的概念逐渐清晰，使自己稚嫩</w:t>
      </w:r>
      <w:r>
        <w:rPr>
          <w:rFonts w:hint="eastAsia" w:ascii="宋体" w:hAnsi="宋体" w:cs="楷体_GB2312"/>
          <w:bCs/>
          <w:sz w:val="24"/>
        </w:rPr>
        <w:t>的</w:t>
      </w:r>
      <w:r>
        <w:rPr>
          <w:rFonts w:ascii="宋体" w:hAnsi="宋体" w:cs="楷体_GB2312"/>
          <w:bCs/>
          <w:sz w:val="24"/>
        </w:rPr>
        <w:t>作品一步步完善起来</w:t>
      </w:r>
      <w:r>
        <w:rPr>
          <w:rFonts w:hint="eastAsia" w:ascii="宋体" w:hAnsi="宋体" w:cs="楷体_GB2312"/>
          <w:bCs/>
          <w:sz w:val="24"/>
        </w:rPr>
        <w:t>。</w:t>
      </w:r>
      <w:r>
        <w:rPr>
          <w:rFonts w:ascii="宋体" w:hAnsi="宋体" w:cs="楷体_GB2312"/>
          <w:bCs/>
          <w:sz w:val="24"/>
        </w:rPr>
        <w:t>每一次改进都是我学习的收获，每一次</w:t>
      </w:r>
      <w:r>
        <w:rPr>
          <w:rFonts w:hint="eastAsia" w:ascii="宋体" w:hAnsi="宋体" w:cs="楷体_GB2312"/>
          <w:bCs/>
          <w:sz w:val="24"/>
        </w:rPr>
        <w:t>导师</w:t>
      </w:r>
      <w:r>
        <w:rPr>
          <w:rFonts w:ascii="宋体" w:hAnsi="宋体" w:cs="楷体_GB2312"/>
          <w:bCs/>
          <w:sz w:val="24"/>
        </w:rPr>
        <w:t>的</w:t>
      </w:r>
      <w:r>
        <w:rPr>
          <w:rFonts w:hint="eastAsia" w:ascii="宋体" w:hAnsi="宋体" w:cs="楷体_GB2312"/>
          <w:bCs/>
          <w:sz w:val="24"/>
        </w:rPr>
        <w:t>肯定</w:t>
      </w:r>
      <w:r>
        <w:rPr>
          <w:rFonts w:ascii="宋体" w:hAnsi="宋体" w:cs="楷体_GB2312"/>
          <w:bCs/>
          <w:sz w:val="24"/>
        </w:rPr>
        <w:t>都会让</w:t>
      </w:r>
      <w:r>
        <w:rPr>
          <w:rFonts w:hint="eastAsia" w:ascii="宋体" w:hAnsi="宋体" w:cs="楷体_GB2312"/>
          <w:bCs/>
          <w:sz w:val="24"/>
        </w:rPr>
        <w:t>激励到</w:t>
      </w:r>
      <w:r>
        <w:rPr>
          <w:rFonts w:ascii="宋体" w:hAnsi="宋体" w:cs="楷体_GB2312"/>
          <w:bCs/>
          <w:sz w:val="24"/>
        </w:rPr>
        <w:t>我。从中我也充分认识到了</w:t>
      </w:r>
      <w:r>
        <w:rPr>
          <w:rFonts w:hint="eastAsia" w:ascii="宋体" w:hAnsi="宋体" w:cs="楷体_GB2312"/>
          <w:bCs/>
          <w:sz w:val="24"/>
        </w:rPr>
        <w:t>海绵城市</w:t>
      </w:r>
      <w:r>
        <w:rPr>
          <w:rFonts w:ascii="宋体" w:hAnsi="宋体" w:cs="楷体_GB2312"/>
          <w:bCs/>
          <w:sz w:val="24"/>
        </w:rPr>
        <w:t>这一新兴的</w:t>
      </w:r>
      <w:r>
        <w:rPr>
          <w:rFonts w:hint="eastAsia" w:ascii="宋体" w:hAnsi="宋体" w:cs="楷体_GB2312"/>
          <w:bCs/>
          <w:sz w:val="24"/>
        </w:rPr>
        <w:t>城市管理方式</w:t>
      </w:r>
      <w:r>
        <w:rPr>
          <w:rFonts w:ascii="宋体" w:hAnsi="宋体" w:cs="楷体_GB2312"/>
          <w:bCs/>
          <w:sz w:val="24"/>
        </w:rPr>
        <w:t>给我们生活带来的</w:t>
      </w:r>
      <w:r>
        <w:rPr>
          <w:rFonts w:hint="eastAsia" w:ascii="宋体" w:hAnsi="宋体" w:cs="楷体_GB2312"/>
          <w:bCs/>
          <w:sz w:val="24"/>
        </w:rPr>
        <w:t>益处。小到每年汛期南方不用再积水甚至内涝，大到城市建设更加便利和快捷。</w:t>
      </w:r>
    </w:p>
    <w:p>
      <w:pPr>
        <w:spacing w:line="360" w:lineRule="auto"/>
        <w:ind w:firstLine="480" w:firstLineChars="200"/>
        <w:jc w:val="left"/>
        <w:rPr>
          <w:rFonts w:ascii="宋体" w:hAnsi="宋体" w:cs="楷体_GB2312"/>
          <w:bCs/>
          <w:sz w:val="24"/>
        </w:rPr>
      </w:pPr>
      <w:r>
        <w:rPr>
          <w:rFonts w:ascii="宋体" w:hAnsi="宋体" w:cs="楷体_GB2312"/>
          <w:bCs/>
          <w:sz w:val="24"/>
        </w:rPr>
        <w:t>这次做论文的经历使</w:t>
      </w:r>
      <w:r>
        <w:rPr>
          <w:rFonts w:hint="eastAsia" w:ascii="宋体" w:hAnsi="宋体" w:cs="楷体_GB2312"/>
          <w:bCs/>
          <w:sz w:val="24"/>
        </w:rPr>
        <w:t>学生</w:t>
      </w:r>
      <w:r>
        <w:rPr>
          <w:rFonts w:ascii="宋体" w:hAnsi="宋体" w:cs="楷体_GB2312"/>
          <w:bCs/>
          <w:sz w:val="24"/>
        </w:rPr>
        <w:t>终身受益，感受到做论文是要真真正正用心去做的一件事情，是真正的自己学习的过程和研究的过程</w:t>
      </w:r>
      <w:r>
        <w:rPr>
          <w:rFonts w:hint="eastAsia" w:ascii="宋体" w:hAnsi="宋体" w:cs="楷体_GB2312"/>
          <w:bCs/>
          <w:sz w:val="24"/>
        </w:rPr>
        <w:t>。</w:t>
      </w:r>
      <w:r>
        <w:rPr>
          <w:rFonts w:ascii="宋体" w:hAnsi="宋体" w:cs="楷体_GB2312"/>
          <w:bCs/>
          <w:sz w:val="24"/>
        </w:rPr>
        <w:t>没有学习就不可能有研究的能力，没有自己的研究，就不会有所突破。希望这次的经历能激励</w:t>
      </w:r>
      <w:r>
        <w:rPr>
          <w:rFonts w:hint="eastAsia" w:ascii="宋体" w:hAnsi="宋体" w:cs="楷体_GB2312"/>
          <w:bCs/>
          <w:sz w:val="24"/>
        </w:rPr>
        <w:t>学生</w:t>
      </w:r>
      <w:r>
        <w:rPr>
          <w:rFonts w:ascii="宋体" w:hAnsi="宋体" w:cs="楷体_GB2312"/>
          <w:bCs/>
          <w:sz w:val="24"/>
        </w:rPr>
        <w:t>在以后学习中继续进步。</w:t>
      </w:r>
    </w:p>
    <w:p>
      <w:pPr>
        <w:spacing w:line="360" w:lineRule="auto"/>
        <w:ind w:firstLine="480" w:firstLineChars="20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beforeLines="50" w:line="360" w:lineRule="auto"/>
        <w:rPr>
          <w:rFonts w:ascii="宋体" w:hAnsi="宋体"/>
          <w:color w:val="FF0000"/>
          <w:sz w:val="30"/>
        </w:rPr>
      </w:pPr>
    </w:p>
    <w:p>
      <w:pPr>
        <w:spacing w:line="360" w:lineRule="auto"/>
        <w:rPr>
          <w:rFonts w:ascii="宋体" w:hAnsi="宋体"/>
          <w:color w:val="FF0000"/>
          <w:sz w:val="30"/>
        </w:rPr>
      </w:pPr>
    </w:p>
    <w:p>
      <w:pPr>
        <w:spacing w:line="360" w:lineRule="auto"/>
        <w:jc w:val="left"/>
        <w:rPr>
          <w:rFonts w:hint="eastAsia" w:ascii="宋体" w:hAnsi="宋体"/>
          <w:color w:val="FF0000"/>
          <w:sz w:val="30"/>
        </w:rPr>
      </w:pPr>
    </w:p>
    <w:p>
      <w:pPr>
        <w:spacing w:line="360" w:lineRule="auto"/>
        <w:jc w:val="left"/>
        <w:rPr>
          <w:rFonts w:hint="eastAsia" w:ascii="宋体" w:hAnsi="宋体"/>
          <w:color w:val="FF0000"/>
          <w:sz w:val="30"/>
        </w:rPr>
      </w:pPr>
    </w:p>
    <w:p>
      <w:pPr>
        <w:spacing w:line="360" w:lineRule="auto"/>
        <w:jc w:val="left"/>
        <w:rPr>
          <w:rFonts w:hint="eastAsia" w:ascii="宋体" w:hAnsi="宋体"/>
          <w:color w:val="FF0000"/>
          <w:sz w:val="30"/>
        </w:rPr>
      </w:pPr>
    </w:p>
    <w:p>
      <w:pPr>
        <w:spacing w:line="360" w:lineRule="auto"/>
        <w:jc w:val="left"/>
        <w:rPr>
          <w:rFonts w:ascii="宋体" w:hAnsi="宋体"/>
          <w:color w:val="FF0000"/>
          <w:sz w:val="30"/>
        </w:rPr>
      </w:pPr>
    </w:p>
    <w:p>
      <w:pPr>
        <w:spacing w:line="360" w:lineRule="auto"/>
        <w:jc w:val="center"/>
        <w:rPr>
          <w:rFonts w:ascii="黑体" w:hAnsi="宋体" w:eastAsia="黑体"/>
          <w:color w:val="0000FF"/>
          <w:sz w:val="30"/>
        </w:rPr>
      </w:pPr>
      <w:r>
        <w:rPr>
          <w:rFonts w:hint="eastAsia" w:ascii="黑体" w:hAnsi="宋体" w:eastAsia="黑体"/>
          <w:color w:val="000000"/>
          <w:sz w:val="30"/>
        </w:rPr>
        <w:t>致  谢</w:t>
      </w:r>
    </w:p>
    <w:p>
      <w:pPr>
        <w:spacing w:line="360" w:lineRule="auto"/>
        <w:ind w:firstLine="570"/>
        <w:rPr>
          <w:rFonts w:ascii="宋体" w:hAnsi="宋体"/>
          <w:color w:val="0000FF"/>
          <w:sz w:val="30"/>
        </w:rPr>
      </w:pPr>
    </w:p>
    <w:p>
      <w:pPr>
        <w:spacing w:line="360" w:lineRule="auto"/>
        <w:ind w:firstLine="480" w:firstLineChars="200"/>
        <w:jc w:val="left"/>
        <w:rPr>
          <w:rFonts w:ascii="宋体" w:hAnsi="宋体"/>
          <w:sz w:val="24"/>
        </w:rPr>
      </w:pPr>
      <w:r>
        <w:rPr>
          <w:rFonts w:ascii="宋体" w:hAnsi="宋体"/>
          <w:sz w:val="24"/>
        </w:rPr>
        <w:t>行文至此，致谢的开始也意味着</w:t>
      </w:r>
      <w:r>
        <w:rPr>
          <w:rFonts w:hint="eastAsia" w:ascii="宋体" w:hAnsi="宋体"/>
          <w:sz w:val="24"/>
        </w:rPr>
        <w:t>二十四年的学生生涯即将画上句号</w:t>
      </w:r>
      <w:r>
        <w:rPr>
          <w:rFonts w:ascii="宋体" w:hAnsi="宋体"/>
          <w:sz w:val="24"/>
        </w:rPr>
        <w:t>。纵有万般不舍，仍心怀感激。</w:t>
      </w:r>
    </w:p>
    <w:p>
      <w:pPr>
        <w:spacing w:line="360" w:lineRule="auto"/>
        <w:ind w:firstLine="480" w:firstLineChars="200"/>
        <w:jc w:val="left"/>
        <w:rPr>
          <w:rFonts w:ascii="宋体" w:hAnsi="宋体"/>
          <w:sz w:val="24"/>
        </w:rPr>
      </w:pPr>
      <w:r>
        <w:rPr>
          <w:rFonts w:ascii="宋体" w:hAnsi="宋体"/>
          <w:sz w:val="24"/>
        </w:rPr>
        <w:t>论文得以顺利完成，要感谢的人实在太多了。首先，我要感谢我的导师</w:t>
      </w:r>
      <w:r>
        <w:rPr>
          <w:rFonts w:hint="eastAsia" w:ascii="宋体" w:hAnsi="宋体"/>
          <w:sz w:val="24"/>
        </w:rPr>
        <w:t>尹</w:t>
      </w:r>
      <w:r>
        <w:rPr>
          <w:rFonts w:ascii="宋体" w:hAnsi="宋体"/>
          <w:sz w:val="24"/>
        </w:rPr>
        <w:t>老师。在学习</w:t>
      </w:r>
      <w:r>
        <w:rPr>
          <w:rFonts w:hint="eastAsia" w:ascii="宋体" w:hAnsi="宋体"/>
          <w:sz w:val="24"/>
        </w:rPr>
        <w:t>专业课</w:t>
      </w:r>
      <w:r>
        <w:rPr>
          <w:rFonts w:ascii="宋体" w:hAnsi="宋体"/>
          <w:sz w:val="24"/>
        </w:rPr>
        <w:t>的道路上，</w:t>
      </w:r>
      <w:r>
        <w:rPr>
          <w:rFonts w:hint="eastAsia" w:ascii="宋体" w:hAnsi="宋体"/>
          <w:sz w:val="24"/>
        </w:rPr>
        <w:t>尹老师</w:t>
      </w:r>
      <w:r>
        <w:rPr>
          <w:rFonts w:ascii="宋体" w:hAnsi="宋体"/>
          <w:sz w:val="24"/>
        </w:rPr>
        <w:t>是给我鼓励最多的。</w:t>
      </w:r>
    </w:p>
    <w:p>
      <w:pPr>
        <w:spacing w:line="360" w:lineRule="auto"/>
        <w:ind w:firstLine="480" w:firstLineChars="200"/>
        <w:jc w:val="left"/>
        <w:rPr>
          <w:rFonts w:ascii="宋体" w:hAnsi="宋体"/>
          <w:sz w:val="24"/>
        </w:rPr>
      </w:pPr>
      <w:r>
        <w:rPr>
          <w:rFonts w:ascii="宋体" w:hAnsi="宋体"/>
          <w:sz w:val="24"/>
        </w:rPr>
        <w:t>饮其流时思其源，成吾学时念吾师。还有陪伴了我</w:t>
      </w:r>
      <w:r>
        <w:rPr>
          <w:rFonts w:hint="eastAsia" w:ascii="宋体" w:hAnsi="宋体"/>
          <w:sz w:val="24"/>
        </w:rPr>
        <w:t>两年</w:t>
      </w:r>
      <w:r>
        <w:rPr>
          <w:rFonts w:ascii="宋体" w:hAnsi="宋体"/>
          <w:sz w:val="24"/>
        </w:rPr>
        <w:t>的</w:t>
      </w:r>
      <w:r>
        <w:rPr>
          <w:rFonts w:hint="eastAsia" w:ascii="宋体" w:hAnsi="宋体"/>
          <w:sz w:val="24"/>
        </w:rPr>
        <w:t>姜</w:t>
      </w:r>
      <w:r>
        <w:rPr>
          <w:rFonts w:ascii="宋体" w:hAnsi="宋体"/>
          <w:sz w:val="24"/>
        </w:rPr>
        <w:t>老师</w:t>
      </w:r>
      <w:r>
        <w:rPr>
          <w:rFonts w:hint="eastAsia" w:ascii="宋体" w:hAnsi="宋体"/>
          <w:sz w:val="24"/>
        </w:rPr>
        <w:t>和杜</w:t>
      </w:r>
      <w:r>
        <w:rPr>
          <w:rFonts w:ascii="宋体" w:hAnsi="宋体"/>
          <w:sz w:val="24"/>
        </w:rPr>
        <w:t>老师</w:t>
      </w:r>
      <w:r>
        <w:rPr>
          <w:rFonts w:hint="eastAsia" w:ascii="宋体" w:hAnsi="宋体"/>
          <w:sz w:val="24"/>
        </w:rPr>
        <w:t>。</w:t>
      </w:r>
      <w:r>
        <w:rPr>
          <w:rFonts w:ascii="宋体" w:hAnsi="宋体"/>
          <w:sz w:val="24"/>
        </w:rPr>
        <w:t>谢谢你们授予我专业知识，对我</w:t>
      </w:r>
      <w:r>
        <w:rPr>
          <w:rFonts w:hint="eastAsia" w:ascii="宋体" w:hAnsi="宋体"/>
          <w:sz w:val="24"/>
        </w:rPr>
        <w:t>学习</w:t>
      </w:r>
      <w:r>
        <w:rPr>
          <w:rFonts w:ascii="宋体" w:hAnsi="宋体"/>
          <w:sz w:val="24"/>
        </w:rPr>
        <w:t>路上提出的宝贵建议和肯定。</w:t>
      </w:r>
    </w:p>
    <w:p>
      <w:pPr>
        <w:spacing w:line="360" w:lineRule="auto"/>
        <w:ind w:firstLine="480" w:firstLineChars="200"/>
        <w:jc w:val="left"/>
        <w:rPr>
          <w:rFonts w:ascii="宋体" w:hAnsi="宋体"/>
          <w:sz w:val="24"/>
        </w:rPr>
      </w:pPr>
      <w:r>
        <w:rPr>
          <w:rFonts w:ascii="宋体" w:hAnsi="宋体"/>
          <w:sz w:val="24"/>
        </w:rPr>
        <w:t>父母之爱子，则为之计深远。在此，也特别感谢我的父母家人。二十余载求学之路，全是父母在背后默默付出、大力支持。在未来的日子里，我将努力工作和学习，绝不辜负父母的殷切希望，回报父母，你们的鼓励，是我人生前进道路上最大的动力。祝愿父母身体健康，再次感谢父母的无私付出与鼎力支持</w:t>
      </w:r>
      <w:r>
        <w:rPr>
          <w:rFonts w:hint="eastAsia" w:ascii="宋体" w:hAnsi="宋体"/>
          <w:sz w:val="24"/>
        </w:rPr>
        <w:t>！</w:t>
      </w:r>
    </w:p>
    <w:p>
      <w:pPr>
        <w:spacing w:line="360" w:lineRule="auto"/>
        <w:ind w:firstLine="480" w:firstLineChars="200"/>
        <w:jc w:val="left"/>
        <w:rPr>
          <w:rFonts w:ascii="宋体" w:hAnsi="宋体"/>
          <w:sz w:val="24"/>
        </w:rPr>
      </w:pPr>
      <w:r>
        <w:rPr>
          <w:rFonts w:ascii="宋体" w:hAnsi="宋体"/>
          <w:sz w:val="24"/>
        </w:rPr>
        <w:t>最后，感谢2016级</w:t>
      </w:r>
      <w:r>
        <w:rPr>
          <w:rFonts w:hint="eastAsia" w:ascii="宋体" w:hAnsi="宋体"/>
          <w:sz w:val="24"/>
        </w:rPr>
        <w:t>转本Z3</w:t>
      </w:r>
      <w:r>
        <w:rPr>
          <w:rFonts w:ascii="宋体" w:hAnsi="宋体"/>
          <w:sz w:val="24"/>
        </w:rPr>
        <w:t>班的全体同学，感谢大家在</w:t>
      </w:r>
      <w:r>
        <w:rPr>
          <w:rFonts w:hint="eastAsia" w:ascii="宋体" w:hAnsi="宋体"/>
          <w:sz w:val="24"/>
        </w:rPr>
        <w:t>本科两年七百</w:t>
      </w:r>
      <w:r>
        <w:rPr>
          <w:rFonts w:ascii="宋体" w:hAnsi="宋体"/>
          <w:sz w:val="24"/>
        </w:rPr>
        <w:t>多个日子里的互相陪伴。愿大家有前程可奔赴，亦有岁月共回首。</w:t>
      </w:r>
    </w:p>
    <w:p>
      <w:pPr>
        <w:spacing w:line="360" w:lineRule="auto"/>
        <w:ind w:firstLine="480" w:firstLineChars="200"/>
        <w:jc w:val="left"/>
        <w:rPr>
          <w:rFonts w:ascii="宋体" w:hAnsi="宋体"/>
          <w:sz w:val="24"/>
        </w:rPr>
      </w:pPr>
      <w:r>
        <w:rPr>
          <w:rFonts w:ascii="宋体" w:hAnsi="宋体"/>
          <w:sz w:val="24"/>
        </w:rPr>
        <w:t>在准备毕业创作期间，深感祖国之强大</w:t>
      </w:r>
      <w:r>
        <w:rPr>
          <w:rFonts w:hint="eastAsia" w:ascii="宋体" w:hAnsi="宋体"/>
          <w:sz w:val="24"/>
        </w:rPr>
        <w:t>。</w:t>
      </w:r>
      <w:r>
        <w:rPr>
          <w:rFonts w:ascii="宋体" w:hAnsi="宋体"/>
          <w:sz w:val="24"/>
        </w:rPr>
        <w:t>感谢在这场疫情中无私奉献的逆行者们!祝愿祖国繁荣昌盛，国泰民安!</w:t>
      </w:r>
    </w:p>
    <w:p>
      <w:pPr>
        <w:spacing w:line="360" w:lineRule="auto"/>
        <w:ind w:firstLine="480" w:firstLineChars="200"/>
        <w:rPr>
          <w:rFonts w:ascii="宋体" w:hAnsi="宋体"/>
          <w:color w:val="0000FF"/>
          <w:sz w:val="24"/>
        </w:rPr>
      </w:pPr>
      <w:r>
        <w:rPr>
          <w:rFonts w:ascii="宋体" w:hAnsi="宋体"/>
          <w:sz w:val="24"/>
        </w:rPr>
        <w:t>剑未配妥，出门已是江湖。路漫漫其修远兮，吾将上下而求索。</w:t>
      </w: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ind w:firstLine="570"/>
        <w:rPr>
          <w:rFonts w:ascii="宋体" w:hAnsi="宋体"/>
          <w:color w:val="0000FF"/>
          <w:sz w:val="24"/>
        </w:rPr>
      </w:pPr>
    </w:p>
    <w:p>
      <w:pPr>
        <w:spacing w:line="360" w:lineRule="auto"/>
        <w:rPr>
          <w:rFonts w:hint="eastAsia"/>
          <w:sz w:val="24"/>
          <w:u w:val="single"/>
        </w:rPr>
      </w:pPr>
    </w:p>
    <w:p>
      <w:pPr>
        <w:spacing w:line="360" w:lineRule="auto"/>
        <w:rPr>
          <w:rFonts w:hint="eastAsia"/>
          <w:sz w:val="24"/>
          <w:u w:val="single"/>
        </w:rPr>
      </w:pPr>
    </w:p>
    <w:p>
      <w:pPr>
        <w:spacing w:line="360" w:lineRule="auto"/>
        <w:rPr>
          <w:rFonts w:hint="eastAsia"/>
          <w:sz w:val="24"/>
          <w:u w:val="single"/>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rPr>
          <w:rFonts w:ascii="宋体" w:hAnsi="宋体"/>
          <w:color w:val="FF0000"/>
          <w:sz w:val="30"/>
        </w:rPr>
      </w:pPr>
    </w:p>
    <w:p>
      <w:pPr>
        <w:spacing w:line="360" w:lineRule="auto"/>
        <w:jc w:val="center"/>
        <w:rPr>
          <w:rFonts w:ascii="黑体" w:hAnsi="宋体" w:eastAsia="黑体"/>
          <w:color w:val="0000FF"/>
          <w:sz w:val="30"/>
        </w:rPr>
      </w:pPr>
      <w:r>
        <w:rPr>
          <w:rFonts w:hint="eastAsia" w:eastAsia="黑体"/>
          <w:sz w:val="30"/>
        </w:rPr>
        <w:t>参 考 文 献</w:t>
      </w:r>
    </w:p>
    <w:p>
      <w:pPr>
        <w:spacing w:line="360" w:lineRule="auto"/>
        <w:ind w:firstLine="570"/>
        <w:rPr>
          <w:rFonts w:ascii="宋体" w:hAnsi="宋体"/>
          <w:color w:val="0000FF"/>
          <w:sz w:val="24"/>
        </w:rPr>
      </w:pPr>
    </w:p>
    <w:p>
      <w:pPr>
        <w:spacing w:line="360" w:lineRule="exact"/>
        <w:ind w:left="922" w:leftChars="229" w:hanging="441" w:hangingChars="184"/>
        <w:rPr>
          <w:rFonts w:ascii="宋体" w:hAnsi="宋体"/>
          <w:sz w:val="24"/>
        </w:rPr>
      </w:pPr>
      <w:r>
        <w:rPr>
          <w:rFonts w:ascii="宋体" w:hAnsi="宋体"/>
          <w:sz w:val="24"/>
        </w:rPr>
        <w:t>[1]</w:t>
      </w:r>
      <w:r>
        <w:rPr>
          <w:rFonts w:hint="eastAsia" w:ascii="宋体" w:hAnsi="宋体"/>
          <w:sz w:val="24"/>
        </w:rPr>
        <w:t xml:space="preserve"> </w:t>
      </w:r>
      <w:r>
        <w:rPr>
          <w:rFonts w:ascii="宋体" w:hAnsi="宋体"/>
          <w:sz w:val="24"/>
        </w:rPr>
        <w:t>吴丹洁,詹圣泽,李友华,涂满章,郑建阳,郭英远,彭海阳.中国特色海绵城市的新兴趋势与实践研究[J].中国软科学,2016(01):79-97.</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2</w:t>
      </w:r>
      <w:r>
        <w:rPr>
          <w:rFonts w:ascii="宋体" w:hAnsi="宋体"/>
          <w:sz w:val="24"/>
        </w:rPr>
        <w:t>]</w:t>
      </w:r>
      <w:r>
        <w:rPr>
          <w:rFonts w:hint="eastAsia" w:ascii="宋体" w:hAnsi="宋体"/>
          <w:sz w:val="24"/>
        </w:rPr>
        <w:t xml:space="preserve"> </w:t>
      </w:r>
      <w:r>
        <w:rPr>
          <w:rFonts w:ascii="宋体" w:hAnsi="宋体"/>
          <w:sz w:val="24"/>
        </w:rPr>
        <w:t>张景舜.浅谈中国“海绵城市”建设现状及发展趋势[J].科技视界,2019(27):197-200.</w:t>
      </w:r>
    </w:p>
    <w:p>
      <w:pPr>
        <w:spacing w:line="360" w:lineRule="exact"/>
        <w:ind w:left="922" w:leftChars="229" w:hanging="441" w:hangingChars="184"/>
        <w:rPr>
          <w:rFonts w:ascii="宋体" w:hAnsi="宋体"/>
          <w:sz w:val="24"/>
        </w:rPr>
      </w:pPr>
      <w:r>
        <w:rPr>
          <w:rFonts w:hint="eastAsia" w:ascii="宋体" w:hAnsi="宋体"/>
          <w:sz w:val="24"/>
        </w:rPr>
        <w:t xml:space="preserve">[3] </w:t>
      </w:r>
      <w:r>
        <w:rPr>
          <w:rFonts w:ascii="宋体" w:hAnsi="宋体"/>
          <w:sz w:val="24"/>
        </w:rPr>
        <w:t>张泉荣,姚允龙,陈鑫.海绵城市中LID设施对降雨径流及非点源污染的控制研究[J].江苏水利,2018(12):8-13.</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4</w:t>
      </w:r>
      <w:r>
        <w:rPr>
          <w:rFonts w:ascii="宋体" w:hAnsi="宋体"/>
          <w:sz w:val="24"/>
        </w:rPr>
        <w:t>]</w:t>
      </w:r>
      <w:r>
        <w:rPr>
          <w:rFonts w:hint="eastAsia" w:ascii="宋体" w:hAnsi="宋体"/>
          <w:sz w:val="24"/>
        </w:rPr>
        <w:t xml:space="preserve"> </w:t>
      </w:r>
      <w:r>
        <w:rPr>
          <w:rFonts w:ascii="宋体" w:hAnsi="宋体"/>
          <w:sz w:val="24"/>
        </w:rPr>
        <w:t>李晓雷,张高嫄.海绵城市建设中低影响开发应用效果评估思考[J].天津建设科技,2019,29(05):16-18.</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5</w:t>
      </w:r>
      <w:r>
        <w:rPr>
          <w:rFonts w:ascii="宋体" w:hAnsi="宋体"/>
          <w:sz w:val="24"/>
        </w:rPr>
        <w:t>]</w:t>
      </w:r>
      <w:r>
        <w:rPr>
          <w:rFonts w:hint="eastAsia" w:ascii="宋体" w:hAnsi="宋体"/>
          <w:sz w:val="24"/>
        </w:rPr>
        <w:t xml:space="preserve"> </w:t>
      </w:r>
      <w:r>
        <w:rPr>
          <w:rFonts w:ascii="宋体" w:hAnsi="宋体"/>
          <w:sz w:val="24"/>
        </w:rPr>
        <w:t>杨阳,林广思.海绵城市概念与思想[J].南方建筑,2015(03):59-64.</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6</w:t>
      </w:r>
      <w:r>
        <w:rPr>
          <w:rFonts w:ascii="宋体" w:hAnsi="宋体"/>
          <w:sz w:val="24"/>
        </w:rPr>
        <w:t>]</w:t>
      </w:r>
      <w:r>
        <w:rPr>
          <w:rFonts w:hint="eastAsia" w:ascii="宋体" w:hAnsi="宋体"/>
          <w:sz w:val="24"/>
        </w:rPr>
        <w:t xml:space="preserve"> </w:t>
      </w:r>
      <w:r>
        <w:rPr>
          <w:rFonts w:ascii="宋体" w:hAnsi="宋体"/>
          <w:sz w:val="24"/>
        </w:rPr>
        <w:t>庞涵月.海绵城市理念下雨水花园景观设计综合评价研究[D].山东大学,2017.</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7</w:t>
      </w:r>
      <w:r>
        <w:rPr>
          <w:rFonts w:ascii="宋体" w:hAnsi="宋体"/>
          <w:sz w:val="24"/>
        </w:rPr>
        <w:t>]</w:t>
      </w:r>
      <w:r>
        <w:rPr>
          <w:rFonts w:hint="eastAsia" w:ascii="宋体" w:hAnsi="宋体"/>
          <w:sz w:val="24"/>
        </w:rPr>
        <w:t xml:space="preserve"> </w:t>
      </w:r>
      <w:r>
        <w:rPr>
          <w:rFonts w:ascii="宋体" w:hAnsi="宋体"/>
          <w:sz w:val="24"/>
        </w:rPr>
        <w:t>任心欣,汤伟真.海绵城市年径流总量控制率等指标应用初探[J].中国给水排水,2015,31(13):105-109.</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8</w:t>
      </w:r>
      <w:r>
        <w:rPr>
          <w:rFonts w:ascii="宋体" w:hAnsi="宋体"/>
          <w:sz w:val="24"/>
        </w:rPr>
        <w:t>]</w:t>
      </w:r>
      <w:r>
        <w:rPr>
          <w:rFonts w:hint="eastAsia" w:ascii="宋体" w:hAnsi="宋体"/>
          <w:sz w:val="24"/>
        </w:rPr>
        <w:t xml:space="preserve"> </w:t>
      </w:r>
      <w:r>
        <w:rPr>
          <w:rFonts w:ascii="宋体" w:hAnsi="宋体"/>
          <w:sz w:val="24"/>
        </w:rPr>
        <w:t>胡蔚.简述我国雨洪现状及发展趋势[J].南方农机,2019,50(13):271.</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9</w:t>
      </w:r>
      <w:r>
        <w:rPr>
          <w:rFonts w:ascii="宋体" w:hAnsi="宋体"/>
          <w:sz w:val="24"/>
        </w:rPr>
        <w:t>] 谌东华.市政道路设计中“海绵城市”理念应用[J].建材与装饰,2019(28):278-279.</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10</w:t>
      </w:r>
      <w:r>
        <w:rPr>
          <w:rFonts w:ascii="宋体" w:hAnsi="宋体"/>
          <w:sz w:val="24"/>
        </w:rPr>
        <w:t>] 薛健.浅析市政给排水设计中对海绵城市理念的应用[J].绿色环保建材,2019(10):73-74.</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11</w:t>
      </w:r>
      <w:r>
        <w:rPr>
          <w:rFonts w:ascii="宋体" w:hAnsi="宋体"/>
          <w:sz w:val="24"/>
        </w:rPr>
        <w:t xml:space="preserve">] 蔡琪. 基于海绵城市理念的下沉式道路排水系统设计研究[D].东南大学,2018. </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12</w:t>
      </w:r>
      <w:r>
        <w:rPr>
          <w:rFonts w:ascii="宋体" w:hAnsi="宋体"/>
          <w:sz w:val="24"/>
        </w:rPr>
        <w:t xml:space="preserve">] 宫曼莉,左俊杰,任心欣,赵洪涛,罗茜,廖云杰,李叙勇.透水路面-生物滞留池组合道路的城市面源污染控制效果评估[J].环境科学,2018,39(09):4096-4104. </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13</w:t>
      </w:r>
      <w:r>
        <w:rPr>
          <w:rFonts w:ascii="宋体" w:hAnsi="宋体"/>
          <w:sz w:val="24"/>
        </w:rPr>
        <w:t>] 杨栩. 城市绿地对降雨径流及其污染物削减研究[D].天津大学,2012.</w:t>
      </w:r>
    </w:p>
    <w:p>
      <w:pPr>
        <w:spacing w:line="360" w:lineRule="exact"/>
        <w:ind w:left="922" w:leftChars="229" w:hanging="441" w:hangingChars="184"/>
        <w:rPr>
          <w:rFonts w:ascii="宋体" w:hAnsi="宋体"/>
          <w:sz w:val="24"/>
        </w:rPr>
      </w:pPr>
      <w:r>
        <w:rPr>
          <w:rFonts w:hint="eastAsia" w:ascii="宋体" w:hAnsi="宋体"/>
          <w:sz w:val="24"/>
        </w:rPr>
        <w:t>[14]</w:t>
      </w:r>
      <w:r>
        <w:rPr>
          <w:rFonts w:ascii="宋体" w:hAnsi="宋体"/>
          <w:color w:val="0070C0"/>
          <w:sz w:val="24"/>
        </w:rPr>
        <w:t xml:space="preserve"> </w:t>
      </w:r>
      <w:r>
        <w:rPr>
          <w:rFonts w:ascii="宋体" w:hAnsi="宋体"/>
          <w:sz w:val="24"/>
        </w:rPr>
        <w:t>张盼耿.海绵城市研究现状、存在的问题及对策研究[J].居舍,2019(34):10.</w:t>
      </w:r>
    </w:p>
    <w:p>
      <w:pPr>
        <w:spacing w:line="360" w:lineRule="exact"/>
        <w:ind w:left="922" w:leftChars="229" w:hanging="441" w:hangingChars="184"/>
        <w:rPr>
          <w:rFonts w:ascii="宋体" w:hAnsi="宋体"/>
          <w:sz w:val="24"/>
        </w:rPr>
      </w:pPr>
      <w:r>
        <w:rPr>
          <w:rFonts w:ascii="宋体" w:hAnsi="宋体"/>
          <w:sz w:val="24"/>
        </w:rPr>
        <w:t>[</w:t>
      </w:r>
      <w:r>
        <w:rPr>
          <w:rFonts w:hint="eastAsia" w:ascii="宋体" w:hAnsi="宋体"/>
          <w:sz w:val="24"/>
        </w:rPr>
        <w:t>15</w:t>
      </w:r>
      <w:r>
        <w:rPr>
          <w:rFonts w:ascii="宋体" w:hAnsi="宋体"/>
          <w:sz w:val="24"/>
        </w:rPr>
        <w:t>] 刘贞鹏,杨宇.透水混凝土路面在海绵城市建设中的研究及应用现状综述[J].居舍,2019(36):184+156.</w:t>
      </w:r>
    </w:p>
    <w:p>
      <w:pPr>
        <w:pStyle w:val="4"/>
        <w:adjustRightInd w:val="0"/>
        <w:spacing w:line="360" w:lineRule="exact"/>
        <w:ind w:left="959" w:leftChars="228" w:hanging="480" w:hangingChars="200"/>
        <w:jc w:val="left"/>
        <w:rPr>
          <w:color w:val="auto"/>
          <w:sz w:val="24"/>
        </w:rPr>
      </w:pPr>
      <w:r>
        <w:rPr>
          <w:rFonts w:hint="eastAsia"/>
          <w:color w:val="auto"/>
          <w:sz w:val="24"/>
        </w:rPr>
        <w:t>[16]</w:t>
      </w:r>
      <w:r>
        <w:rPr>
          <w:rFonts w:hint="eastAsia"/>
          <w:color w:val="0070C0"/>
          <w:sz w:val="24"/>
        </w:rPr>
        <w:t xml:space="preserve"> </w:t>
      </w:r>
      <w:r>
        <w:rPr>
          <w:color w:val="auto"/>
          <w:sz w:val="24"/>
        </w:rPr>
        <w:t>沈洁,龙若愚,陈静.美国LEED-ND/SITES/LPS雨水管理评价标准对中国海绵城市绩效评价的启示[J].风景园林,2019,26(03):81-86.</w:t>
      </w:r>
    </w:p>
    <w:p>
      <w:pPr>
        <w:spacing w:line="360" w:lineRule="exact"/>
        <w:ind w:left="959" w:leftChars="228" w:hanging="480" w:hangingChars="200"/>
        <w:rPr>
          <w:rFonts w:ascii="宋体" w:hAnsi="宋体"/>
          <w:color w:val="0000FF"/>
          <w:sz w:val="24"/>
        </w:rPr>
      </w:pPr>
      <w:r>
        <w:rPr>
          <w:rFonts w:hint="eastAsia" w:ascii="宋体" w:hAnsi="宋体"/>
          <w:sz w:val="24"/>
        </w:rPr>
        <w:t>[17]</w:t>
      </w:r>
      <w:r>
        <w:rPr>
          <w:rFonts w:ascii="Arial" w:hAnsi="Arial" w:cs="Arial"/>
          <w:color w:val="333333"/>
          <w:szCs w:val="21"/>
          <w:shd w:val="clear" w:color="auto" w:fill="FFFFFF"/>
        </w:rPr>
        <w:t xml:space="preserve"> </w:t>
      </w:r>
      <w:r>
        <w:rPr>
          <w:rFonts w:ascii="宋体" w:hAnsi="宋体"/>
          <w:sz w:val="24"/>
        </w:rPr>
        <w:t>王锋.澳大利亚水敏感城市评估实践及其启示[J].生态经济,2018,34(06):186-193.</w:t>
      </w:r>
    </w:p>
    <w:p>
      <w:pPr>
        <w:spacing w:line="360" w:lineRule="exact"/>
        <w:ind w:firstLine="480" w:firstLineChars="200"/>
        <w:rPr>
          <w:rFonts w:ascii="宋体" w:hAnsi="宋体"/>
          <w:sz w:val="24"/>
        </w:rPr>
      </w:pPr>
      <w:r>
        <w:rPr>
          <w:rFonts w:hint="eastAsia" w:ascii="宋体" w:hAnsi="宋体"/>
          <w:sz w:val="24"/>
        </w:rPr>
        <w:t>[18]</w:t>
      </w:r>
      <w:r>
        <w:rPr>
          <w:rFonts w:ascii="Arial" w:hAnsi="Arial" w:cs="Arial"/>
          <w:szCs w:val="21"/>
          <w:shd w:val="clear" w:color="auto" w:fill="FFFFFF"/>
        </w:rPr>
        <w:t xml:space="preserve"> </w:t>
      </w:r>
      <w:r>
        <w:rPr>
          <w:rFonts w:ascii="宋体" w:hAnsi="宋体"/>
          <w:sz w:val="24"/>
        </w:rPr>
        <w:t>閤超成. 海绵城市评价体系构建及应用[D].东南大学,2017.</w:t>
      </w:r>
    </w:p>
    <w:sectPr>
      <w:headerReference r:id="rId3" w:type="default"/>
      <w:pgSz w:w="11907" w:h="16840"/>
      <w:pgMar w:top="1247" w:right="1134" w:bottom="1247" w:left="1418" w:header="851" w:footer="992" w:gutter="51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大标宋简体">
    <w:altName w:val="宋体"/>
    <w:panose1 w:val="00000000000000000000"/>
    <w:charset w:val="86"/>
    <w:family w:val="auto"/>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sz w:val="21"/>
      </w:rPr>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kern w:val="0"/>
        <w:sz w:val="21"/>
        <w:szCs w:val="21"/>
      </w:rPr>
      <w:fldChar w:fldCharType="begin"/>
    </w:r>
    <w:r>
      <w:rPr>
        <w:kern w:val="0"/>
        <w:sz w:val="21"/>
        <w:szCs w:val="21"/>
      </w:rPr>
      <w:instrText xml:space="preserve"> PAGE </w:instrText>
    </w:r>
    <w:r>
      <w:rPr>
        <w:kern w:val="0"/>
        <w:sz w:val="21"/>
        <w:szCs w:val="21"/>
      </w:rPr>
      <w:fldChar w:fldCharType="separate"/>
    </w:r>
    <w:r>
      <w:rPr>
        <w:kern w:val="0"/>
        <w:sz w:val="21"/>
        <w:szCs w:val="21"/>
      </w:rPr>
      <w:t>34</w:t>
    </w:r>
    <w:r>
      <w:rPr>
        <w:kern w:val="0"/>
        <w:sz w:val="21"/>
        <w:szCs w:val="21"/>
      </w:rPr>
      <w:fldChar w:fldCharType="end"/>
    </w:r>
    <w:r>
      <w:rPr>
        <w:rFonts w:hint="eastAsia"/>
        <w:kern w:val="0"/>
        <w:sz w:val="21"/>
        <w:szCs w:val="21"/>
      </w:rPr>
      <w:t xml:space="preserve"> 页  共 </w:t>
    </w:r>
    <w:r>
      <w:rPr>
        <w:kern w:val="0"/>
        <w:sz w:val="21"/>
        <w:szCs w:val="21"/>
      </w:rPr>
      <w:fldChar w:fldCharType="begin"/>
    </w:r>
    <w:r>
      <w:rPr>
        <w:kern w:val="0"/>
        <w:sz w:val="21"/>
        <w:szCs w:val="21"/>
      </w:rPr>
      <w:instrText xml:space="preserve"> NUMPAGES </w:instrText>
    </w:r>
    <w:r>
      <w:rPr>
        <w:kern w:val="0"/>
        <w:sz w:val="21"/>
        <w:szCs w:val="21"/>
      </w:rPr>
      <w:fldChar w:fldCharType="separate"/>
    </w:r>
    <w:r>
      <w:rPr>
        <w:kern w:val="0"/>
        <w:sz w:val="21"/>
        <w:szCs w:val="21"/>
      </w:rPr>
      <w:t>34</w:t>
    </w:r>
    <w:r>
      <w:rPr>
        <w:kern w:val="0"/>
        <w:sz w:val="21"/>
        <w:szCs w:val="21"/>
      </w:rPr>
      <w:fldChar w:fldCharType="end"/>
    </w:r>
    <w:r>
      <w:rPr>
        <w:rFonts w:hint="eastAsia"/>
        <w:kern w:val="0"/>
        <w:sz w:val="21"/>
        <w:szCs w:val="21"/>
      </w:rPr>
      <w:t xml:space="preserve"> 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867AE14"/>
    <w:multiLevelType w:val="singleLevel"/>
    <w:tmpl w:val="B867AE14"/>
    <w:lvl w:ilvl="0" w:tentative="0">
      <w:start w:val="1"/>
      <w:numFmt w:val="decimal"/>
      <w:lvlText w:val="(%1)"/>
      <w:lvlJc w:val="left"/>
      <w:pPr>
        <w:ind w:left="425" w:hanging="425"/>
      </w:pPr>
      <w:rPr>
        <w:rFonts w:hint="default"/>
      </w:rPr>
    </w:lvl>
  </w:abstractNum>
  <w:abstractNum w:abstractNumId="1">
    <w:nsid w:val="C99AFD84"/>
    <w:multiLevelType w:val="singleLevel"/>
    <w:tmpl w:val="C99AFD84"/>
    <w:lvl w:ilvl="0" w:tentative="0">
      <w:start w:val="4"/>
      <w:numFmt w:val="decimal"/>
      <w:suff w:val="space"/>
      <w:lvlText w:val="%1."/>
      <w:lvlJc w:val="left"/>
    </w:lvl>
  </w:abstractNum>
  <w:abstractNum w:abstractNumId="2">
    <w:nsid w:val="02C311F1"/>
    <w:multiLevelType w:val="multilevel"/>
    <w:tmpl w:val="02C311F1"/>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67B45FA"/>
    <w:multiLevelType w:val="multilevel"/>
    <w:tmpl w:val="067B45FA"/>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4">
    <w:nsid w:val="1F460279"/>
    <w:multiLevelType w:val="multilevel"/>
    <w:tmpl w:val="1F46027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32924D26"/>
    <w:multiLevelType w:val="multilevel"/>
    <w:tmpl w:val="32924D26"/>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A9F3244"/>
    <w:multiLevelType w:val="multilevel"/>
    <w:tmpl w:val="3A9F3244"/>
    <w:lvl w:ilvl="0" w:tentative="0">
      <w:start w:val="1"/>
      <w:numFmt w:val="decimal"/>
      <w:lvlText w:val="%1"/>
      <w:lvlJc w:val="left"/>
      <w:pPr>
        <w:ind w:left="465" w:hanging="465"/>
      </w:pPr>
      <w:rPr>
        <w:rFonts w:hint="default"/>
      </w:rPr>
    </w:lvl>
    <w:lvl w:ilvl="1" w:tentative="0">
      <w:start w:val="2"/>
      <w:numFmt w:val="decimal"/>
      <w:lvlText w:val="%1.%2"/>
      <w:lvlJc w:val="left"/>
      <w:pPr>
        <w:ind w:left="465" w:hanging="46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2160" w:hanging="2160"/>
      </w:pPr>
      <w:rPr>
        <w:rFonts w:hint="default"/>
      </w:rPr>
    </w:lvl>
  </w:abstractNum>
  <w:abstractNum w:abstractNumId="7">
    <w:nsid w:val="6BA029CE"/>
    <w:multiLevelType w:val="multilevel"/>
    <w:tmpl w:val="6BA029CE"/>
    <w:lvl w:ilvl="0" w:tentative="0">
      <w:start w:val="1"/>
      <w:numFmt w:val="decimal"/>
      <w:lvlText w:val="%1"/>
      <w:lvlJc w:val="left"/>
      <w:pPr>
        <w:ind w:left="465" w:hanging="465"/>
      </w:pPr>
      <w:rPr>
        <w:rFonts w:hint="default"/>
      </w:rPr>
    </w:lvl>
    <w:lvl w:ilvl="1" w:tentative="0">
      <w:start w:val="2"/>
      <w:numFmt w:val="decimal"/>
      <w:lvlText w:val="%1.%2"/>
      <w:lvlJc w:val="left"/>
      <w:pPr>
        <w:ind w:left="465" w:hanging="465"/>
      </w:pPr>
      <w:rPr>
        <w:rFonts w:hint="default"/>
      </w:rPr>
    </w:lvl>
    <w:lvl w:ilvl="2" w:tentative="0">
      <w:start w:val="1"/>
      <w:numFmt w:val="decimal"/>
      <w:lvlText w:val="%1.%2.%3"/>
      <w:lvlJc w:val="left"/>
      <w:pPr>
        <w:ind w:left="720" w:hanging="720"/>
      </w:pPr>
      <w:rPr>
        <w:rFonts w:hint="default"/>
        <w:b w:val="0"/>
        <w:sz w:val="24"/>
        <w:szCs w:val="24"/>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2160" w:hanging="2160"/>
      </w:pPr>
      <w:rPr>
        <w:rFonts w:hint="default"/>
      </w:rPr>
    </w:lvl>
  </w:abstractNum>
  <w:abstractNum w:abstractNumId="8">
    <w:nsid w:val="6BE21CF2"/>
    <w:multiLevelType w:val="multilevel"/>
    <w:tmpl w:val="6BE21CF2"/>
    <w:lvl w:ilvl="0" w:tentative="0">
      <w:start w:val="1"/>
      <w:numFmt w:val="decimal"/>
      <w:lvlText w:val="%1"/>
      <w:lvlJc w:val="left"/>
      <w:pPr>
        <w:ind w:left="450" w:hanging="45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b w:val="0"/>
        <w:sz w:val="24"/>
        <w:szCs w:val="24"/>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8"/>
  </w:num>
  <w:num w:numId="2">
    <w:abstractNumId w:val="3"/>
  </w:num>
  <w:num w:numId="3">
    <w:abstractNumId w:val="5"/>
  </w:num>
  <w:num w:numId="4">
    <w:abstractNumId w:val="7"/>
  </w:num>
  <w:num w:numId="5">
    <w:abstractNumId w:val="6"/>
  </w:num>
  <w:num w:numId="6">
    <w:abstractNumId w:val="4"/>
  </w:num>
  <w:num w:numId="7">
    <w:abstractNumId w:val="1"/>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9C4C9D"/>
    <w:rsid w:val="00014C74"/>
    <w:rsid w:val="000253B5"/>
    <w:rsid w:val="00031C54"/>
    <w:rsid w:val="00032D5E"/>
    <w:rsid w:val="00036A30"/>
    <w:rsid w:val="00050211"/>
    <w:rsid w:val="000572AC"/>
    <w:rsid w:val="00074ED2"/>
    <w:rsid w:val="000A1AD9"/>
    <w:rsid w:val="000D7EB8"/>
    <w:rsid w:val="000E2928"/>
    <w:rsid w:val="000E7EB5"/>
    <w:rsid w:val="000F12F4"/>
    <w:rsid w:val="00105E3F"/>
    <w:rsid w:val="0011795B"/>
    <w:rsid w:val="00117CE8"/>
    <w:rsid w:val="00124467"/>
    <w:rsid w:val="00131B69"/>
    <w:rsid w:val="001367F9"/>
    <w:rsid w:val="00142593"/>
    <w:rsid w:val="0015617F"/>
    <w:rsid w:val="00164846"/>
    <w:rsid w:val="00167D9E"/>
    <w:rsid w:val="00171DFF"/>
    <w:rsid w:val="00190E40"/>
    <w:rsid w:val="001921B9"/>
    <w:rsid w:val="001A3D9C"/>
    <w:rsid w:val="001A5900"/>
    <w:rsid w:val="001B093E"/>
    <w:rsid w:val="001E4B7A"/>
    <w:rsid w:val="001F4814"/>
    <w:rsid w:val="001F4829"/>
    <w:rsid w:val="0021426B"/>
    <w:rsid w:val="00223133"/>
    <w:rsid w:val="0022441D"/>
    <w:rsid w:val="00234941"/>
    <w:rsid w:val="00250028"/>
    <w:rsid w:val="0025075B"/>
    <w:rsid w:val="00253CA8"/>
    <w:rsid w:val="00263112"/>
    <w:rsid w:val="0027124E"/>
    <w:rsid w:val="00277019"/>
    <w:rsid w:val="002926DF"/>
    <w:rsid w:val="00295A19"/>
    <w:rsid w:val="002A0DFF"/>
    <w:rsid w:val="002A7550"/>
    <w:rsid w:val="002B33CC"/>
    <w:rsid w:val="002B4763"/>
    <w:rsid w:val="002C4C01"/>
    <w:rsid w:val="002C543E"/>
    <w:rsid w:val="002D5D4F"/>
    <w:rsid w:val="002D60D7"/>
    <w:rsid w:val="00311539"/>
    <w:rsid w:val="00316BC2"/>
    <w:rsid w:val="00322578"/>
    <w:rsid w:val="0032547B"/>
    <w:rsid w:val="00333E36"/>
    <w:rsid w:val="00335C44"/>
    <w:rsid w:val="003450C4"/>
    <w:rsid w:val="00346760"/>
    <w:rsid w:val="00350BCC"/>
    <w:rsid w:val="00354551"/>
    <w:rsid w:val="003677BE"/>
    <w:rsid w:val="003711D6"/>
    <w:rsid w:val="003757BB"/>
    <w:rsid w:val="00386CE5"/>
    <w:rsid w:val="00387AA9"/>
    <w:rsid w:val="003C4F7F"/>
    <w:rsid w:val="003D090A"/>
    <w:rsid w:val="003D6CDD"/>
    <w:rsid w:val="003E35CE"/>
    <w:rsid w:val="003E4EB9"/>
    <w:rsid w:val="00402F91"/>
    <w:rsid w:val="00407DCE"/>
    <w:rsid w:val="004239E2"/>
    <w:rsid w:val="00423EF6"/>
    <w:rsid w:val="004271CF"/>
    <w:rsid w:val="00435422"/>
    <w:rsid w:val="0045001D"/>
    <w:rsid w:val="0045482A"/>
    <w:rsid w:val="004704AD"/>
    <w:rsid w:val="00471361"/>
    <w:rsid w:val="004718BF"/>
    <w:rsid w:val="004741F4"/>
    <w:rsid w:val="00475D5A"/>
    <w:rsid w:val="0047762D"/>
    <w:rsid w:val="004B40E7"/>
    <w:rsid w:val="004C320A"/>
    <w:rsid w:val="004D3812"/>
    <w:rsid w:val="004D64EE"/>
    <w:rsid w:val="004D77F1"/>
    <w:rsid w:val="004E7354"/>
    <w:rsid w:val="004F0A5E"/>
    <w:rsid w:val="00506D9F"/>
    <w:rsid w:val="00507DDA"/>
    <w:rsid w:val="00525F36"/>
    <w:rsid w:val="00527FD9"/>
    <w:rsid w:val="005326BA"/>
    <w:rsid w:val="0054046F"/>
    <w:rsid w:val="0054052E"/>
    <w:rsid w:val="00546F3B"/>
    <w:rsid w:val="00570986"/>
    <w:rsid w:val="00583C79"/>
    <w:rsid w:val="00584088"/>
    <w:rsid w:val="00591312"/>
    <w:rsid w:val="00593A39"/>
    <w:rsid w:val="00596F50"/>
    <w:rsid w:val="005A2986"/>
    <w:rsid w:val="005C4B95"/>
    <w:rsid w:val="005D62FD"/>
    <w:rsid w:val="005E43B6"/>
    <w:rsid w:val="005E4837"/>
    <w:rsid w:val="005E6659"/>
    <w:rsid w:val="005E7EA8"/>
    <w:rsid w:val="005F0D07"/>
    <w:rsid w:val="005F4232"/>
    <w:rsid w:val="00607362"/>
    <w:rsid w:val="00655F23"/>
    <w:rsid w:val="00662725"/>
    <w:rsid w:val="00671AA0"/>
    <w:rsid w:val="006738FE"/>
    <w:rsid w:val="006739AB"/>
    <w:rsid w:val="006768B7"/>
    <w:rsid w:val="00681CBA"/>
    <w:rsid w:val="00685A48"/>
    <w:rsid w:val="00686708"/>
    <w:rsid w:val="006963D8"/>
    <w:rsid w:val="006A0841"/>
    <w:rsid w:val="006D60DD"/>
    <w:rsid w:val="006F6BB8"/>
    <w:rsid w:val="00710885"/>
    <w:rsid w:val="00713D50"/>
    <w:rsid w:val="00714CC1"/>
    <w:rsid w:val="00716A1F"/>
    <w:rsid w:val="007242E6"/>
    <w:rsid w:val="007334CA"/>
    <w:rsid w:val="00737F21"/>
    <w:rsid w:val="00742AE5"/>
    <w:rsid w:val="00763612"/>
    <w:rsid w:val="0076442A"/>
    <w:rsid w:val="007658AF"/>
    <w:rsid w:val="00783480"/>
    <w:rsid w:val="00784147"/>
    <w:rsid w:val="007851F6"/>
    <w:rsid w:val="00787AB3"/>
    <w:rsid w:val="00787F4E"/>
    <w:rsid w:val="00793292"/>
    <w:rsid w:val="00794DD2"/>
    <w:rsid w:val="007A4CDA"/>
    <w:rsid w:val="007A7EF6"/>
    <w:rsid w:val="007B6603"/>
    <w:rsid w:val="007B68F0"/>
    <w:rsid w:val="007C438D"/>
    <w:rsid w:val="007D42F1"/>
    <w:rsid w:val="007E5DB3"/>
    <w:rsid w:val="007F2266"/>
    <w:rsid w:val="00813FEB"/>
    <w:rsid w:val="00823059"/>
    <w:rsid w:val="008233B4"/>
    <w:rsid w:val="00845666"/>
    <w:rsid w:val="00847067"/>
    <w:rsid w:val="00852FFC"/>
    <w:rsid w:val="00856568"/>
    <w:rsid w:val="00862BA8"/>
    <w:rsid w:val="00863B07"/>
    <w:rsid w:val="00865234"/>
    <w:rsid w:val="00865E0E"/>
    <w:rsid w:val="00866012"/>
    <w:rsid w:val="00875F5A"/>
    <w:rsid w:val="00881017"/>
    <w:rsid w:val="00881FEC"/>
    <w:rsid w:val="00886B71"/>
    <w:rsid w:val="008A2E31"/>
    <w:rsid w:val="008A649D"/>
    <w:rsid w:val="008A6E5D"/>
    <w:rsid w:val="008B1868"/>
    <w:rsid w:val="008B73BC"/>
    <w:rsid w:val="008C2675"/>
    <w:rsid w:val="008C2926"/>
    <w:rsid w:val="008C4C88"/>
    <w:rsid w:val="008C4D29"/>
    <w:rsid w:val="008C73E2"/>
    <w:rsid w:val="008D3EAD"/>
    <w:rsid w:val="008D5B64"/>
    <w:rsid w:val="008D721F"/>
    <w:rsid w:val="008E114E"/>
    <w:rsid w:val="008E3D42"/>
    <w:rsid w:val="008E76A1"/>
    <w:rsid w:val="008F0CEF"/>
    <w:rsid w:val="008F419B"/>
    <w:rsid w:val="008F434D"/>
    <w:rsid w:val="008F7150"/>
    <w:rsid w:val="00914EF3"/>
    <w:rsid w:val="00915696"/>
    <w:rsid w:val="009174CF"/>
    <w:rsid w:val="0092430E"/>
    <w:rsid w:val="009274CA"/>
    <w:rsid w:val="009348AB"/>
    <w:rsid w:val="0094075A"/>
    <w:rsid w:val="009408F5"/>
    <w:rsid w:val="00946F4F"/>
    <w:rsid w:val="00951C28"/>
    <w:rsid w:val="009639A8"/>
    <w:rsid w:val="00974EDA"/>
    <w:rsid w:val="00983921"/>
    <w:rsid w:val="00985427"/>
    <w:rsid w:val="00986C38"/>
    <w:rsid w:val="009970BA"/>
    <w:rsid w:val="009A3947"/>
    <w:rsid w:val="009A7AD3"/>
    <w:rsid w:val="009A7E87"/>
    <w:rsid w:val="009B5AE9"/>
    <w:rsid w:val="009C4C9D"/>
    <w:rsid w:val="009D20EF"/>
    <w:rsid w:val="009E0904"/>
    <w:rsid w:val="00A00900"/>
    <w:rsid w:val="00A16718"/>
    <w:rsid w:val="00A25BFD"/>
    <w:rsid w:val="00A52F30"/>
    <w:rsid w:val="00A610F1"/>
    <w:rsid w:val="00A65E13"/>
    <w:rsid w:val="00A65E5F"/>
    <w:rsid w:val="00A66A08"/>
    <w:rsid w:val="00A9654A"/>
    <w:rsid w:val="00AA0B64"/>
    <w:rsid w:val="00AA256F"/>
    <w:rsid w:val="00AA743D"/>
    <w:rsid w:val="00AC487A"/>
    <w:rsid w:val="00AC52BD"/>
    <w:rsid w:val="00AE4175"/>
    <w:rsid w:val="00AE4A4E"/>
    <w:rsid w:val="00AE5A8A"/>
    <w:rsid w:val="00AE7EE8"/>
    <w:rsid w:val="00AF0A74"/>
    <w:rsid w:val="00AF2991"/>
    <w:rsid w:val="00B03A8B"/>
    <w:rsid w:val="00B22681"/>
    <w:rsid w:val="00B552F0"/>
    <w:rsid w:val="00B56B34"/>
    <w:rsid w:val="00B732EB"/>
    <w:rsid w:val="00B81907"/>
    <w:rsid w:val="00BA2A3A"/>
    <w:rsid w:val="00BA753A"/>
    <w:rsid w:val="00BC0A17"/>
    <w:rsid w:val="00BC0EC9"/>
    <w:rsid w:val="00BC10D3"/>
    <w:rsid w:val="00BC4508"/>
    <w:rsid w:val="00BC761D"/>
    <w:rsid w:val="00BE4871"/>
    <w:rsid w:val="00BF0F10"/>
    <w:rsid w:val="00BF536C"/>
    <w:rsid w:val="00C02FE5"/>
    <w:rsid w:val="00C170EF"/>
    <w:rsid w:val="00C21D64"/>
    <w:rsid w:val="00C22EC7"/>
    <w:rsid w:val="00C233D3"/>
    <w:rsid w:val="00C26967"/>
    <w:rsid w:val="00C30EBB"/>
    <w:rsid w:val="00C40CBC"/>
    <w:rsid w:val="00C4356F"/>
    <w:rsid w:val="00C556A3"/>
    <w:rsid w:val="00C602BD"/>
    <w:rsid w:val="00C67769"/>
    <w:rsid w:val="00C7152E"/>
    <w:rsid w:val="00C76CA9"/>
    <w:rsid w:val="00C805FD"/>
    <w:rsid w:val="00C87EBE"/>
    <w:rsid w:val="00C90447"/>
    <w:rsid w:val="00C961E4"/>
    <w:rsid w:val="00C970CC"/>
    <w:rsid w:val="00CA07F6"/>
    <w:rsid w:val="00CA2E35"/>
    <w:rsid w:val="00CA47DE"/>
    <w:rsid w:val="00CB1E87"/>
    <w:rsid w:val="00CB3BB3"/>
    <w:rsid w:val="00CC4BC8"/>
    <w:rsid w:val="00CC5F49"/>
    <w:rsid w:val="00CD5201"/>
    <w:rsid w:val="00CE288B"/>
    <w:rsid w:val="00CE5E6E"/>
    <w:rsid w:val="00CE7034"/>
    <w:rsid w:val="00CF4AF9"/>
    <w:rsid w:val="00CF4D9C"/>
    <w:rsid w:val="00CF6E95"/>
    <w:rsid w:val="00D01836"/>
    <w:rsid w:val="00D0494C"/>
    <w:rsid w:val="00D13AF0"/>
    <w:rsid w:val="00D30A44"/>
    <w:rsid w:val="00D33F9E"/>
    <w:rsid w:val="00D4217E"/>
    <w:rsid w:val="00D5696D"/>
    <w:rsid w:val="00D645FF"/>
    <w:rsid w:val="00D87596"/>
    <w:rsid w:val="00D96348"/>
    <w:rsid w:val="00D9744A"/>
    <w:rsid w:val="00D9791F"/>
    <w:rsid w:val="00DA58E3"/>
    <w:rsid w:val="00DA6249"/>
    <w:rsid w:val="00DC24C0"/>
    <w:rsid w:val="00DC3641"/>
    <w:rsid w:val="00DC4F13"/>
    <w:rsid w:val="00DC53AE"/>
    <w:rsid w:val="00DC7E43"/>
    <w:rsid w:val="00DD2C61"/>
    <w:rsid w:val="00DD33CF"/>
    <w:rsid w:val="00DD6C19"/>
    <w:rsid w:val="00DE4DE5"/>
    <w:rsid w:val="00DE5B24"/>
    <w:rsid w:val="00DF5BB8"/>
    <w:rsid w:val="00DF60B3"/>
    <w:rsid w:val="00E01511"/>
    <w:rsid w:val="00E05788"/>
    <w:rsid w:val="00E07FBA"/>
    <w:rsid w:val="00E2228F"/>
    <w:rsid w:val="00E2307F"/>
    <w:rsid w:val="00E35C98"/>
    <w:rsid w:val="00E45A89"/>
    <w:rsid w:val="00E46963"/>
    <w:rsid w:val="00E50644"/>
    <w:rsid w:val="00E50DDF"/>
    <w:rsid w:val="00E600D5"/>
    <w:rsid w:val="00E61316"/>
    <w:rsid w:val="00E65B5A"/>
    <w:rsid w:val="00E916F3"/>
    <w:rsid w:val="00EA1255"/>
    <w:rsid w:val="00EA2E56"/>
    <w:rsid w:val="00EA6C6D"/>
    <w:rsid w:val="00EB6686"/>
    <w:rsid w:val="00EC1629"/>
    <w:rsid w:val="00EC5FAB"/>
    <w:rsid w:val="00EC7D1A"/>
    <w:rsid w:val="00EF0FAC"/>
    <w:rsid w:val="00EF2C81"/>
    <w:rsid w:val="00F02AE6"/>
    <w:rsid w:val="00F15AF9"/>
    <w:rsid w:val="00F16214"/>
    <w:rsid w:val="00F25DD2"/>
    <w:rsid w:val="00F270AC"/>
    <w:rsid w:val="00F3257A"/>
    <w:rsid w:val="00F357E3"/>
    <w:rsid w:val="00F706B7"/>
    <w:rsid w:val="00F70FA6"/>
    <w:rsid w:val="00F77925"/>
    <w:rsid w:val="00F811CF"/>
    <w:rsid w:val="00F85856"/>
    <w:rsid w:val="00F87C66"/>
    <w:rsid w:val="00F930F3"/>
    <w:rsid w:val="00F96176"/>
    <w:rsid w:val="00F9763F"/>
    <w:rsid w:val="00FB0020"/>
    <w:rsid w:val="00FE1DBE"/>
    <w:rsid w:val="00FE5FEA"/>
    <w:rsid w:val="00FF19BF"/>
    <w:rsid w:val="01722A30"/>
    <w:rsid w:val="040764B8"/>
    <w:rsid w:val="05BB7DD9"/>
    <w:rsid w:val="09897E4D"/>
    <w:rsid w:val="0B4208A9"/>
    <w:rsid w:val="0B5344F7"/>
    <w:rsid w:val="0F096B8F"/>
    <w:rsid w:val="0FD74270"/>
    <w:rsid w:val="114A3E99"/>
    <w:rsid w:val="12993F24"/>
    <w:rsid w:val="12A54133"/>
    <w:rsid w:val="14B54548"/>
    <w:rsid w:val="16D30A2F"/>
    <w:rsid w:val="182C0C45"/>
    <w:rsid w:val="1A5D25B2"/>
    <w:rsid w:val="1A8B206B"/>
    <w:rsid w:val="1AA433C2"/>
    <w:rsid w:val="1C1E0E19"/>
    <w:rsid w:val="1F391993"/>
    <w:rsid w:val="219D456F"/>
    <w:rsid w:val="21C17011"/>
    <w:rsid w:val="2213196F"/>
    <w:rsid w:val="25A47CEC"/>
    <w:rsid w:val="25F30337"/>
    <w:rsid w:val="26AD2D9B"/>
    <w:rsid w:val="282F7B47"/>
    <w:rsid w:val="28BD5DDD"/>
    <w:rsid w:val="2A531C69"/>
    <w:rsid w:val="31485D53"/>
    <w:rsid w:val="33EE162F"/>
    <w:rsid w:val="35576F87"/>
    <w:rsid w:val="35C42544"/>
    <w:rsid w:val="35CF509E"/>
    <w:rsid w:val="35EA5FB3"/>
    <w:rsid w:val="36C72542"/>
    <w:rsid w:val="383E54FF"/>
    <w:rsid w:val="38582162"/>
    <w:rsid w:val="399272BE"/>
    <w:rsid w:val="39BE5B37"/>
    <w:rsid w:val="3A1E46EF"/>
    <w:rsid w:val="3BAB0BFA"/>
    <w:rsid w:val="3D315339"/>
    <w:rsid w:val="3FF648A5"/>
    <w:rsid w:val="40820194"/>
    <w:rsid w:val="40894F98"/>
    <w:rsid w:val="40C7113A"/>
    <w:rsid w:val="41A85F60"/>
    <w:rsid w:val="41CD3B03"/>
    <w:rsid w:val="41D92364"/>
    <w:rsid w:val="43036889"/>
    <w:rsid w:val="46BC4781"/>
    <w:rsid w:val="46F41554"/>
    <w:rsid w:val="485034A5"/>
    <w:rsid w:val="4855797A"/>
    <w:rsid w:val="486914FA"/>
    <w:rsid w:val="495A5826"/>
    <w:rsid w:val="49C418D6"/>
    <w:rsid w:val="4AB31C57"/>
    <w:rsid w:val="4C156670"/>
    <w:rsid w:val="4F020A8F"/>
    <w:rsid w:val="513764D0"/>
    <w:rsid w:val="515B1194"/>
    <w:rsid w:val="517423FB"/>
    <w:rsid w:val="52BD7A88"/>
    <w:rsid w:val="545A46EF"/>
    <w:rsid w:val="56A00A48"/>
    <w:rsid w:val="57CB7A34"/>
    <w:rsid w:val="58BE7518"/>
    <w:rsid w:val="59BE5696"/>
    <w:rsid w:val="5B592771"/>
    <w:rsid w:val="5BC12821"/>
    <w:rsid w:val="5CB700F5"/>
    <w:rsid w:val="5DC33E89"/>
    <w:rsid w:val="5FFE7321"/>
    <w:rsid w:val="60241FDD"/>
    <w:rsid w:val="60262CB7"/>
    <w:rsid w:val="61925C89"/>
    <w:rsid w:val="61D54171"/>
    <w:rsid w:val="630778D1"/>
    <w:rsid w:val="63B05D9D"/>
    <w:rsid w:val="63FC366F"/>
    <w:rsid w:val="67AB0E14"/>
    <w:rsid w:val="680E027F"/>
    <w:rsid w:val="6A6A7A9F"/>
    <w:rsid w:val="6A6D5886"/>
    <w:rsid w:val="6AB211C1"/>
    <w:rsid w:val="6B006CCF"/>
    <w:rsid w:val="6B424B01"/>
    <w:rsid w:val="6B6D0A66"/>
    <w:rsid w:val="6C324465"/>
    <w:rsid w:val="6D204DCF"/>
    <w:rsid w:val="6D8D7C8B"/>
    <w:rsid w:val="700D15DE"/>
    <w:rsid w:val="70754DC4"/>
    <w:rsid w:val="70D714E7"/>
    <w:rsid w:val="71343ED7"/>
    <w:rsid w:val="714809CB"/>
    <w:rsid w:val="718E0F38"/>
    <w:rsid w:val="71AB45C1"/>
    <w:rsid w:val="71FF3FBA"/>
    <w:rsid w:val="76873ECA"/>
    <w:rsid w:val="787C5C1C"/>
    <w:rsid w:val="79AB2858"/>
    <w:rsid w:val="7BAE1F3B"/>
    <w:rsid w:val="7BD608F0"/>
    <w:rsid w:val="7C757248"/>
    <w:rsid w:val="7FB403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uiPriority w:val="1"/>
  </w:style>
  <w:style w:type="table" w:default="1" w:styleId="16">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3"/>
    <w:basedOn w:val="1"/>
    <w:qFormat/>
    <w:uiPriority w:val="0"/>
    <w:pPr>
      <w:spacing w:line="240" w:lineRule="exact"/>
    </w:pPr>
    <w:rPr>
      <w:color w:val="0000FF"/>
    </w:rPr>
  </w:style>
  <w:style w:type="paragraph" w:styleId="3">
    <w:name w:val="Body Text"/>
    <w:basedOn w:val="1"/>
    <w:qFormat/>
    <w:uiPriority w:val="0"/>
    <w:pPr>
      <w:jc w:val="center"/>
    </w:pPr>
    <w:rPr>
      <w:rFonts w:eastAsia="方正大标宋简体"/>
      <w:sz w:val="76"/>
    </w:rPr>
  </w:style>
  <w:style w:type="paragraph" w:styleId="4">
    <w:name w:val="Body Text Indent"/>
    <w:basedOn w:val="1"/>
    <w:qFormat/>
    <w:uiPriority w:val="0"/>
    <w:pPr>
      <w:spacing w:line="360" w:lineRule="auto"/>
      <w:ind w:firstLine="560" w:firstLineChars="200"/>
    </w:pPr>
    <w:rPr>
      <w:rFonts w:ascii="宋体" w:hAnsi="宋体"/>
      <w:color w:val="0000FF"/>
      <w:sz w:val="28"/>
    </w:rPr>
  </w:style>
  <w:style w:type="paragraph" w:styleId="5">
    <w:name w:val="Date"/>
    <w:basedOn w:val="1"/>
    <w:next w:val="1"/>
    <w:link w:val="25"/>
    <w:semiHidden/>
    <w:unhideWhenUsed/>
    <w:qFormat/>
    <w:uiPriority w:val="0"/>
    <w:pPr>
      <w:ind w:left="100" w:leftChars="2500"/>
    </w:pPr>
  </w:style>
  <w:style w:type="paragraph" w:styleId="6">
    <w:name w:val="Balloon Text"/>
    <w:basedOn w:val="1"/>
    <w:link w:val="19"/>
    <w:qFormat/>
    <w:uiPriority w:val="0"/>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9">
    <w:name w:val="Body Text 2"/>
    <w:basedOn w:val="1"/>
    <w:qFormat/>
    <w:uiPriority w:val="0"/>
    <w:pPr>
      <w:spacing w:line="360" w:lineRule="exact"/>
    </w:pPr>
    <w:rPr>
      <w:rFonts w:ascii="宋体" w:hAnsi="宋体"/>
      <w:color w:val="0000FF"/>
      <w:sz w:val="24"/>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character" w:styleId="12">
    <w:name w:val="Strong"/>
    <w:basedOn w:val="11"/>
    <w:qFormat/>
    <w:uiPriority w:val="22"/>
    <w:rPr>
      <w:b/>
      <w:bCs/>
    </w:rPr>
  </w:style>
  <w:style w:type="character" w:styleId="13">
    <w:name w:val="page number"/>
    <w:basedOn w:val="11"/>
    <w:qFormat/>
    <w:uiPriority w:val="0"/>
  </w:style>
  <w:style w:type="character" w:styleId="14">
    <w:name w:val="Emphasis"/>
    <w:basedOn w:val="11"/>
    <w:qFormat/>
    <w:uiPriority w:val="0"/>
    <w:rPr>
      <w:i/>
    </w:rPr>
  </w:style>
  <w:style w:type="character" w:styleId="15">
    <w:name w:val="Hyperlink"/>
    <w:basedOn w:val="11"/>
    <w:unhideWhenUsed/>
    <w:qFormat/>
    <w:uiPriority w:val="99"/>
    <w:rPr>
      <w:color w:val="0000FF"/>
      <w:u w:val="single"/>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8">
    <w:name w:val="Placeholder Text"/>
    <w:basedOn w:val="11"/>
    <w:semiHidden/>
    <w:qFormat/>
    <w:uiPriority w:val="99"/>
    <w:rPr>
      <w:color w:val="808080"/>
    </w:rPr>
  </w:style>
  <w:style w:type="character" w:customStyle="1" w:styleId="19">
    <w:name w:val="批注框文本 Char"/>
    <w:basedOn w:val="11"/>
    <w:link w:val="6"/>
    <w:qFormat/>
    <w:uiPriority w:val="0"/>
    <w:rPr>
      <w:kern w:val="2"/>
      <w:sz w:val="18"/>
      <w:szCs w:val="18"/>
    </w:rPr>
  </w:style>
  <w:style w:type="character" w:customStyle="1" w:styleId="20">
    <w:name w:val="页眉 Char"/>
    <w:basedOn w:val="11"/>
    <w:link w:val="8"/>
    <w:qFormat/>
    <w:uiPriority w:val="0"/>
    <w:rPr>
      <w:kern w:val="2"/>
      <w:sz w:val="18"/>
      <w:szCs w:val="18"/>
    </w:rPr>
  </w:style>
  <w:style w:type="paragraph" w:customStyle="1" w:styleId="21">
    <w:name w:val="样式1"/>
    <w:basedOn w:val="4"/>
    <w:qFormat/>
    <w:uiPriority w:val="0"/>
    <w:pPr>
      <w:tabs>
        <w:tab w:val="center" w:pos="4200"/>
        <w:tab w:val="right" w:pos="8400"/>
      </w:tabs>
      <w:ind w:firstLine="480"/>
    </w:pPr>
    <w:rPr>
      <w:color w:val="auto"/>
      <w:sz w:val="24"/>
    </w:rPr>
  </w:style>
  <w:style w:type="paragraph" w:customStyle="1" w:styleId="22">
    <w:name w:val="公式"/>
    <w:basedOn w:val="21"/>
    <w:qFormat/>
    <w:uiPriority w:val="0"/>
    <w:pPr>
      <w:ind w:right="-510" w:rightChars="-243" w:firstLine="0" w:firstLineChars="0"/>
    </w:pPr>
  </w:style>
  <w:style w:type="table" w:customStyle="1" w:styleId="23">
    <w:name w:val="浅色底纹1"/>
    <w:basedOn w:val="16"/>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Layout w:type="fixed"/>
      <w:tblCellMar>
        <w:top w:w="0" w:type="dxa"/>
        <w:left w:w="108" w:type="dxa"/>
        <w:bottom w:w="0" w:type="dxa"/>
        <w:right w:w="108" w:type="dxa"/>
      </w:tblCellMar>
    </w:tblPr>
    <w:tblStylePr w:type="fir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BFBFBF" w:themeFill="text1" w:themeFillTint="3F"/>
      </w:tcPr>
    </w:tblStylePr>
    <w:tblStylePr w:type="band1Horz">
      <w:tcPr>
        <w:tcBorders>
          <w:left w:val="nil"/>
          <w:right w:val="nil"/>
          <w:insideH w:val="nil"/>
          <w:insideV w:val="nil"/>
        </w:tcBorders>
        <w:shd w:val="clear" w:color="auto" w:fill="BFBFBF" w:themeFill="text1" w:themeFillTint="3F"/>
      </w:tcPr>
    </w:tblStylePr>
  </w:style>
  <w:style w:type="paragraph" w:styleId="24">
    <w:name w:val="List Paragraph"/>
    <w:basedOn w:val="1"/>
    <w:qFormat/>
    <w:uiPriority w:val="34"/>
    <w:pPr>
      <w:ind w:firstLine="420" w:firstLineChars="200"/>
    </w:pPr>
  </w:style>
  <w:style w:type="character" w:customStyle="1" w:styleId="25">
    <w:name w:val="日期 Char"/>
    <w:basedOn w:val="11"/>
    <w:link w:val="5"/>
    <w:semiHidden/>
    <w:qFormat/>
    <w:uiPriority w:val="0"/>
    <w:rPr>
      <w:kern w:val="2"/>
      <w:sz w:val="21"/>
      <w:szCs w:val="24"/>
    </w:rPr>
  </w:style>
  <w:style w:type="table" w:customStyle="1" w:styleId="26">
    <w:name w:val="浅色底纹2"/>
    <w:basedOn w:val="16"/>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Layout w:type="fixed"/>
      <w:tblCellMar>
        <w:top w:w="0" w:type="dxa"/>
        <w:left w:w="108" w:type="dxa"/>
        <w:bottom w:w="0" w:type="dxa"/>
        <w:right w:w="108" w:type="dxa"/>
      </w:tblCellMar>
    </w:tblPr>
    <w:tblStylePr w:type="fir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BFBFBF" w:themeFill="text1" w:themeFillTint="3F"/>
      </w:tcPr>
    </w:tblStylePr>
    <w:tblStylePr w:type="band1Horz">
      <w:tcPr>
        <w:tcBorders>
          <w:left w:val="nil"/>
          <w:right w:val="nil"/>
          <w:insideH w:val="nil"/>
          <w:insideV w:val="nil"/>
        </w:tcBorders>
        <w:shd w:val="clear" w:color="auto" w:fill="BFBFBF" w:themeFill="text1" w:themeFillTint="3F"/>
      </w:tcPr>
    </w:tblStylePr>
  </w:style>
  <w:style w:type="paragraph" w:customStyle="1" w:styleId="27">
    <w:name w:val="表格标题"/>
    <w:qFormat/>
    <w:uiPriority w:val="0"/>
    <w:pPr>
      <w:jc w:val="center"/>
    </w:pPr>
    <w:rPr>
      <w:rFonts w:ascii="Calibri" w:hAnsi="Calibri" w:eastAsia="宋体" w:cs="Times New Roman"/>
      <w:b/>
      <w:kern w:val="2"/>
      <w:sz w:val="21"/>
      <w:szCs w:val="22"/>
      <w:lang w:val="en-US" w:eastAsia="zh-CN" w:bidi="ar-SA"/>
    </w:rPr>
  </w:style>
  <w:style w:type="paragraph" w:customStyle="1" w:styleId="28">
    <w:name w:val="表格正文"/>
    <w:qFormat/>
    <w:uiPriority w:val="0"/>
    <w:pPr>
      <w:jc w:val="center"/>
    </w:pPr>
    <w:rPr>
      <w:rFonts w:ascii="Calibri" w:hAnsi="Calibri" w:eastAsia="宋体" w:cs="Times New Roman"/>
      <w:kern w:val="2"/>
      <w:sz w:val="21"/>
      <w:szCs w:val="22"/>
      <w:lang w:val="en-US" w:eastAsia="zh-CN" w:bidi="ar-SA"/>
    </w:rPr>
  </w:style>
  <w:style w:type="character" w:customStyle="1" w:styleId="29">
    <w:name w:val="em_similar"/>
    <w:basedOn w:val="30"/>
    <w:qFormat/>
    <w:uiPriority w:val="0"/>
    <w:rPr>
      <w:color w:val="FF0000"/>
    </w:rPr>
  </w:style>
  <w:style w:type="character" w:customStyle="1" w:styleId="30">
    <w:name w:val="em"/>
    <w:basedOn w:val="1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oleObject" Target="embeddings/oleObject1.bin"/><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8C8A41-50F5-44AA-AE08-1FD1AEF89FFB}">
  <ds:schemaRefs/>
</ds:datastoreItem>
</file>

<file path=docProps/app.xml><?xml version="1.0" encoding="utf-8"?>
<Properties xmlns="http://schemas.openxmlformats.org/officeDocument/2006/extended-properties" xmlns:vt="http://schemas.openxmlformats.org/officeDocument/2006/docPropsVTypes">
  <Template>Normal</Template>
  <Company>jwc</Company>
  <Pages>34</Pages>
  <Words>2997</Words>
  <Characters>17088</Characters>
  <Lines>142</Lines>
  <Paragraphs>40</Paragraphs>
  <TotalTime>0</TotalTime>
  <ScaleCrop>false</ScaleCrop>
  <LinksUpToDate>false</LinksUpToDate>
  <CharactersWithSpaces>20045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2020-05-08T11:43:00Z</dcterms:created>
  <dc:creator>zyc</dc:creator>
  <cp:lastModifiedBy>想太多。</cp:lastModifiedBy>
  <cp:lastPrinted>2020-05-27T07:37:00Z</cp:lastPrinted>
  <dcterms:modified xsi:type="dcterms:W3CDTF">2020-05-27T09:08:51Z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